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Default Extension="jpeg" ContentType="image/jpeg"/>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spacing w:before="9"/>
        <w:rPr>
          <w:rFonts w:ascii="Times New Roman"/>
          <w:sz w:val="18"/>
        </w:rPr>
      </w:pPr>
    </w:p>
    <w:p>
      <w:pPr>
        <w:spacing w:before="92"/>
        <w:ind w:left="0" w:right="104" w:firstLine="0"/>
        <w:jc w:val="right"/>
        <w:rPr>
          <w:i/>
          <w:sz w:val="28"/>
        </w:rPr>
      </w:pPr>
      <w:r>
        <w:rPr/>
        <w:drawing>
          <wp:anchor distT="0" distB="0" distL="0" distR="0" allowOverlap="1" layoutInCell="1" locked="0" behindDoc="0" simplePos="0" relativeHeight="0">
            <wp:simplePos x="0" y="0"/>
            <wp:positionH relativeFrom="page">
              <wp:posOffset>590550</wp:posOffset>
            </wp:positionH>
            <wp:positionV relativeFrom="paragraph">
              <wp:posOffset>-426569</wp:posOffset>
            </wp:positionV>
            <wp:extent cx="2389378" cy="1066165"/>
            <wp:effectExtent l="0" t="0" r="0" b="0"/>
            <wp:wrapNone/>
            <wp:docPr id="1" name="image1.png" descr=""/>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2389378" cy="1066165"/>
                    </a:xfrm>
                    <a:prstGeom prst="rect">
                      <a:avLst/>
                    </a:prstGeom>
                  </pic:spPr>
                </pic:pic>
              </a:graphicData>
            </a:graphic>
          </wp:anchor>
        </w:drawing>
      </w:r>
      <w:r>
        <w:rPr>
          <w:i/>
          <w:sz w:val="28"/>
        </w:rPr>
        <w:t>Policy Report #1 in the Series</w:t>
      </w:r>
    </w:p>
    <w:p>
      <w:pPr>
        <w:spacing w:before="244"/>
        <w:ind w:left="0" w:right="104" w:firstLine="0"/>
        <w:jc w:val="right"/>
        <w:rPr>
          <w:i/>
          <w:sz w:val="28"/>
        </w:rPr>
      </w:pPr>
      <w:r>
        <w:rPr>
          <w:i/>
          <w:sz w:val="28"/>
        </w:rPr>
        <w:t>September 17, 2017</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11"/>
        <w:rPr>
          <w:i/>
          <w:sz w:val="19"/>
        </w:rPr>
      </w:pPr>
    </w:p>
    <w:p>
      <w:pPr>
        <w:spacing w:line="276" w:lineRule="auto" w:before="88"/>
        <w:ind w:left="736" w:right="163" w:firstLine="0"/>
        <w:jc w:val="center"/>
        <w:rPr>
          <w:b/>
          <w:sz w:val="40"/>
        </w:rPr>
      </w:pPr>
      <w:r>
        <w:rPr>
          <w:b/>
          <w:sz w:val="40"/>
        </w:rPr>
        <w:t>Following the Money: Twenty Years of Charter School Finances in Arizona</w:t>
      </w:r>
    </w:p>
    <w:p>
      <w:pPr>
        <w:spacing w:line="412" w:lineRule="auto" w:before="206"/>
        <w:ind w:left="1422" w:right="893" w:firstLine="0"/>
        <w:jc w:val="center"/>
        <w:rPr>
          <w:b/>
          <w:i/>
          <w:sz w:val="24"/>
        </w:rPr>
      </w:pPr>
      <w:r>
        <w:rPr>
          <w:b/>
          <w:i/>
          <w:sz w:val="24"/>
        </w:rPr>
        <w:t>(A Meta-Analysis of Charter School Financials and what they tell us) </w:t>
      </w:r>
      <w:r>
        <w:rPr>
          <w:b/>
          <w:i/>
          <w:sz w:val="24"/>
        </w:rPr>
        <w:t>By Curtis Cardine, Fellow, Grand Canyon Institute</w:t>
      </w:r>
    </w:p>
    <w:p>
      <w:pPr>
        <w:spacing w:before="13"/>
        <w:ind w:left="736" w:right="221" w:firstLine="0"/>
        <w:jc w:val="center"/>
        <w:rPr>
          <w:b/>
          <w:i/>
          <w:sz w:val="24"/>
        </w:rPr>
      </w:pPr>
      <w:r>
        <w:rPr>
          <w:b/>
          <w:i/>
          <w:sz w:val="24"/>
        </w:rPr>
        <w:t>Co-Authored with Dave Wells, Ph.D., Research Director, Grand Canyon Institute</w:t>
      </w:r>
    </w:p>
    <w:p>
      <w:pPr>
        <w:spacing w:after="0"/>
        <w:jc w:val="center"/>
        <w:rPr>
          <w:sz w:val="24"/>
        </w:rPr>
        <w:sectPr>
          <w:type w:val="continuous"/>
          <w:pgSz w:w="12240" w:h="15840"/>
          <w:pgMar w:top="1240" w:bottom="280" w:left="820" w:right="1340"/>
        </w:sect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spacing w:before="7"/>
        <w:rPr>
          <w:b/>
          <w:i/>
          <w:sz w:val="19"/>
        </w:rPr>
      </w:pPr>
    </w:p>
    <w:p>
      <w:pPr>
        <w:spacing w:before="92"/>
        <w:ind w:left="95" w:right="95" w:firstLine="0"/>
        <w:jc w:val="center"/>
        <w:rPr>
          <w:b/>
          <w:sz w:val="28"/>
        </w:rPr>
      </w:pPr>
      <w:bookmarkStart w:name="_bookmark0" w:id="1"/>
      <w:bookmarkEnd w:id="1"/>
      <w:r>
        <w:rPr/>
      </w:r>
      <w:r>
        <w:rPr>
          <w:b/>
          <w:color w:val="365F91"/>
          <w:sz w:val="28"/>
        </w:rPr>
        <w:t>The Essential Questions Explored in these Policy Reports</w:t>
      </w:r>
    </w:p>
    <w:p>
      <w:pPr>
        <w:pStyle w:val="BodyText"/>
        <w:rPr>
          <w:b/>
          <w:sz w:val="30"/>
        </w:rPr>
      </w:pPr>
    </w:p>
    <w:p>
      <w:pPr>
        <w:spacing w:line="278" w:lineRule="auto" w:before="195"/>
        <w:ind w:left="95" w:right="96" w:firstLine="0"/>
        <w:jc w:val="center"/>
        <w:rPr>
          <w:b/>
          <w:i/>
          <w:sz w:val="22"/>
        </w:rPr>
      </w:pPr>
      <w:r>
        <w:rPr>
          <w:b/>
          <w:i/>
          <w:sz w:val="22"/>
        </w:rPr>
        <w:t>“What have the promoters of charter schools done with the freedom over their budgets, </w:t>
      </w:r>
      <w:r>
        <w:rPr>
          <w:b/>
          <w:i/>
          <w:sz w:val="22"/>
        </w:rPr>
        <w:t>staffing, curricula and other operations?”</w:t>
      </w:r>
    </w:p>
    <w:p>
      <w:pPr>
        <w:spacing w:line="276" w:lineRule="auto" w:before="196"/>
        <w:ind w:left="95" w:right="91" w:firstLine="0"/>
        <w:jc w:val="center"/>
        <w:rPr>
          <w:b/>
          <w:i/>
          <w:sz w:val="22"/>
        </w:rPr>
      </w:pPr>
      <w:r>
        <w:rPr>
          <w:b/>
          <w:i/>
          <w:sz w:val="22"/>
        </w:rPr>
        <w:t>“What is the result of eliminating the substantial conformity of governance and finance </w:t>
      </w:r>
      <w:r>
        <w:rPr>
          <w:b/>
          <w:i/>
          <w:sz w:val="22"/>
        </w:rPr>
        <w:t>rules for operating schools (financed from taxpayers’ dollars) on the governance and finances of these entities?”</w:t>
      </w:r>
    </w:p>
    <w:p>
      <w:pPr>
        <w:spacing w:after="0" w:line="276" w:lineRule="auto"/>
        <w:jc w:val="center"/>
        <w:rPr>
          <w:sz w:val="22"/>
        </w:rPr>
        <w:sectPr>
          <w:headerReference w:type="default" r:id="rId6"/>
          <w:footerReference w:type="default" r:id="rId7"/>
          <w:pgSz w:w="12240" w:h="15840"/>
          <w:pgMar w:header="740" w:footer="1002" w:top="940" w:bottom="1200" w:left="1420" w:right="1420"/>
          <w:pgNumType w:start="2"/>
        </w:sectPr>
      </w:pPr>
    </w:p>
    <w:p>
      <w:pPr>
        <w:pStyle w:val="BodyText"/>
        <w:rPr>
          <w:b/>
          <w:i/>
          <w:sz w:val="20"/>
        </w:rPr>
      </w:pPr>
    </w:p>
    <w:p>
      <w:pPr>
        <w:pStyle w:val="BodyText"/>
        <w:rPr>
          <w:b/>
          <w:i/>
          <w:sz w:val="20"/>
        </w:rPr>
      </w:pPr>
    </w:p>
    <w:p>
      <w:pPr>
        <w:pStyle w:val="BodyText"/>
        <w:rPr>
          <w:b/>
          <w:i/>
          <w:sz w:val="20"/>
        </w:rPr>
      </w:pPr>
    </w:p>
    <w:p>
      <w:pPr>
        <w:pStyle w:val="BodyText"/>
        <w:spacing w:before="7"/>
        <w:rPr>
          <w:b/>
          <w:i/>
          <w:sz w:val="18"/>
        </w:rPr>
      </w:pPr>
    </w:p>
    <w:p>
      <w:pPr>
        <w:spacing w:before="92"/>
        <w:ind w:left="55" w:right="346" w:firstLine="0"/>
        <w:jc w:val="center"/>
        <w:rPr>
          <w:b/>
          <w:sz w:val="28"/>
        </w:rPr>
      </w:pPr>
      <w:r>
        <w:rPr>
          <w:b/>
          <w:sz w:val="28"/>
        </w:rPr>
        <w:t>Table of Contents</w:t>
      </w:r>
    </w:p>
    <w:sdt>
      <w:sdtPr>
        <w:docPartObj>
          <w:docPartGallery w:val="Table of Contents"/>
          <w:docPartUnique/>
        </w:docPartObj>
      </w:sdtPr>
      <w:sdtEndPr/>
      <w:sdtContent>
        <w:p>
          <w:pPr>
            <w:pStyle w:val="TOC1"/>
            <w:tabs>
              <w:tab w:pos="9236" w:val="right" w:leader="dot"/>
            </w:tabs>
            <w:spacing w:before="247"/>
            <w:rPr>
              <w:rFonts w:ascii="Calibri"/>
            </w:rPr>
          </w:pPr>
          <w:hyperlink w:history="true" w:anchor="_bookmark0">
            <w:r>
              <w:rPr/>
              <w:t>The Essential Questions Explored in these</w:t>
            </w:r>
            <w:r>
              <w:rPr>
                <w:spacing w:val="-17"/>
              </w:rPr>
              <w:t> </w:t>
            </w:r>
            <w:r>
              <w:rPr/>
              <w:t>Policy</w:t>
            </w:r>
            <w:r>
              <w:rPr>
                <w:spacing w:val="-10"/>
              </w:rPr>
              <w:t> </w:t>
            </w:r>
            <w:r>
              <w:rPr/>
              <w:t>Reports</w:t>
              <w:tab/>
            </w:r>
            <w:r>
              <w:rPr>
                <w:rFonts w:ascii="Calibri"/>
              </w:rPr>
              <w:t>2</w:t>
            </w:r>
          </w:hyperlink>
        </w:p>
        <w:p>
          <w:pPr>
            <w:pStyle w:val="TOC1"/>
            <w:tabs>
              <w:tab w:pos="9241" w:val="right" w:leader="dot"/>
            </w:tabs>
            <w:rPr>
              <w:rFonts w:ascii="Calibri"/>
            </w:rPr>
          </w:pPr>
          <w:hyperlink w:history="true" w:anchor="_bookmark1">
            <w:r>
              <w:rPr/>
              <w:t>Executive Summary</w:t>
              <w:tab/>
            </w:r>
            <w:r>
              <w:rPr>
                <w:rFonts w:ascii="Calibri"/>
              </w:rPr>
              <w:t>5</w:t>
            </w:r>
          </w:hyperlink>
        </w:p>
        <w:p>
          <w:pPr>
            <w:pStyle w:val="TOC1"/>
            <w:tabs>
              <w:tab w:pos="9237" w:val="right" w:leader="dot"/>
            </w:tabs>
            <w:rPr>
              <w:rFonts w:ascii="Calibri"/>
            </w:rPr>
          </w:pPr>
          <w:hyperlink w:history="true" w:anchor="_bookmark5">
            <w:r>
              <w:rPr/>
              <w:t>Findings</w:t>
            </w:r>
            <w:r>
              <w:rPr>
                <w:spacing w:val="-6"/>
              </w:rPr>
              <w:t> </w:t>
            </w:r>
            <w:r>
              <w:rPr/>
              <w:t>and</w:t>
            </w:r>
            <w:r>
              <w:rPr>
                <w:spacing w:val="-3"/>
              </w:rPr>
              <w:t> </w:t>
            </w:r>
            <w:r>
              <w:rPr/>
              <w:t>Recommendations</w:t>
              <w:tab/>
            </w:r>
            <w:r>
              <w:rPr>
                <w:rFonts w:ascii="Calibri"/>
              </w:rPr>
              <w:t>10</w:t>
            </w:r>
          </w:hyperlink>
        </w:p>
        <w:p>
          <w:pPr>
            <w:pStyle w:val="TOC2"/>
            <w:tabs>
              <w:tab w:pos="9237" w:val="right" w:leader="dot"/>
            </w:tabs>
            <w:rPr>
              <w:rFonts w:ascii="Calibri"/>
            </w:rPr>
          </w:pPr>
          <w:hyperlink w:history="true" w:anchor="_bookmark6">
            <w:r>
              <w:rPr/>
              <w:t>Topics in the First</w:t>
            </w:r>
            <w:r>
              <w:rPr>
                <w:spacing w:val="-4"/>
              </w:rPr>
              <w:t> </w:t>
            </w:r>
            <w:r>
              <w:rPr/>
              <w:t>Policy</w:t>
            </w:r>
            <w:r>
              <w:rPr>
                <w:spacing w:val="-7"/>
              </w:rPr>
              <w:t> </w:t>
            </w:r>
            <w:r>
              <w:rPr/>
              <w:t>Report</w:t>
              <w:tab/>
            </w:r>
            <w:r>
              <w:rPr>
                <w:rFonts w:ascii="Calibri"/>
              </w:rPr>
              <w:t>10</w:t>
            </w:r>
          </w:hyperlink>
        </w:p>
        <w:p>
          <w:pPr>
            <w:pStyle w:val="TOC2"/>
            <w:tabs>
              <w:tab w:pos="9237" w:val="right" w:leader="dot"/>
            </w:tabs>
            <w:spacing w:before="122"/>
            <w:rPr>
              <w:rFonts w:ascii="Calibri"/>
            </w:rPr>
          </w:pPr>
          <w:hyperlink w:history="true" w:anchor="_bookmark9">
            <w:r>
              <w:rPr/>
              <w:t>Related-Party</w:t>
            </w:r>
            <w:r>
              <w:rPr>
                <w:spacing w:val="-9"/>
              </w:rPr>
              <w:t> </w:t>
            </w:r>
            <w:r>
              <w:rPr/>
              <w:t>Transactions</w:t>
              <w:tab/>
            </w:r>
            <w:r>
              <w:rPr>
                <w:rFonts w:ascii="Calibri"/>
              </w:rPr>
              <w:t>11</w:t>
            </w:r>
          </w:hyperlink>
        </w:p>
        <w:p>
          <w:pPr>
            <w:pStyle w:val="TOC2"/>
            <w:tabs>
              <w:tab w:pos="9237" w:val="right" w:leader="dot"/>
            </w:tabs>
            <w:rPr>
              <w:rFonts w:ascii="Calibri"/>
            </w:rPr>
          </w:pPr>
          <w:hyperlink w:history="true" w:anchor="_bookmark10">
            <w:r>
              <w:rPr/>
              <w:t>High Executive Salaries</w:t>
              <w:tab/>
            </w:r>
            <w:r>
              <w:rPr>
                <w:rFonts w:ascii="Calibri"/>
              </w:rPr>
              <w:t>13</w:t>
            </w:r>
          </w:hyperlink>
        </w:p>
        <w:p>
          <w:pPr>
            <w:pStyle w:val="TOC2"/>
            <w:tabs>
              <w:tab w:pos="9237" w:val="right" w:leader="dot"/>
            </w:tabs>
            <w:rPr>
              <w:rFonts w:ascii="Calibri"/>
            </w:rPr>
          </w:pPr>
          <w:hyperlink w:history="true" w:anchor="_bookmark12">
            <w:r>
              <w:rPr/>
              <w:t>Questionable</w:t>
            </w:r>
            <w:r>
              <w:rPr>
                <w:spacing w:val="-3"/>
              </w:rPr>
              <w:t> </w:t>
            </w:r>
            <w:r>
              <w:rPr/>
              <w:t>Profit</w:t>
            </w:r>
            <w:r>
              <w:rPr>
                <w:spacing w:val="-1"/>
              </w:rPr>
              <w:t> </w:t>
            </w:r>
            <w:r>
              <w:rPr/>
              <w:t>Distributions</w:t>
              <w:tab/>
            </w:r>
            <w:r>
              <w:rPr>
                <w:rFonts w:ascii="Calibri"/>
              </w:rPr>
              <w:t>15</w:t>
            </w:r>
          </w:hyperlink>
        </w:p>
        <w:p>
          <w:pPr>
            <w:pStyle w:val="TOC2"/>
            <w:tabs>
              <w:tab w:pos="9237" w:val="right" w:leader="dot"/>
            </w:tabs>
            <w:rPr>
              <w:rFonts w:ascii="Calibri"/>
            </w:rPr>
          </w:pPr>
          <w:hyperlink w:history="true" w:anchor="_bookmark13">
            <w:r>
              <w:rPr/>
              <w:t>Reduced</w:t>
            </w:r>
            <w:r>
              <w:rPr>
                <w:spacing w:val="-1"/>
              </w:rPr>
              <w:t> </w:t>
            </w:r>
            <w:r>
              <w:rPr/>
              <w:t>Classroom</w:t>
            </w:r>
            <w:r>
              <w:rPr>
                <w:spacing w:val="-2"/>
              </w:rPr>
              <w:t> </w:t>
            </w:r>
            <w:r>
              <w:rPr/>
              <w:t>Spending</w:t>
              <w:tab/>
            </w:r>
            <w:r>
              <w:rPr>
                <w:rFonts w:ascii="Calibri"/>
              </w:rPr>
              <w:t>16</w:t>
            </w:r>
          </w:hyperlink>
        </w:p>
        <w:p>
          <w:pPr>
            <w:pStyle w:val="TOC2"/>
            <w:tabs>
              <w:tab w:pos="9237" w:val="right" w:leader="dot"/>
            </w:tabs>
            <w:spacing w:before="122"/>
            <w:rPr>
              <w:rFonts w:ascii="Calibri"/>
            </w:rPr>
          </w:pPr>
          <w:hyperlink w:history="true" w:anchor="_bookmark16">
            <w:r>
              <w:rPr/>
              <w:t>Academic</w:t>
            </w:r>
            <w:r>
              <w:rPr>
                <w:spacing w:val="-1"/>
              </w:rPr>
              <w:t> </w:t>
            </w:r>
            <w:r>
              <w:rPr/>
              <w:t>Underperformance</w:t>
              <w:tab/>
            </w:r>
            <w:r>
              <w:rPr>
                <w:rFonts w:ascii="Calibri"/>
              </w:rPr>
              <w:t>17</w:t>
            </w:r>
          </w:hyperlink>
        </w:p>
        <w:p>
          <w:pPr>
            <w:pStyle w:val="TOC2"/>
            <w:tabs>
              <w:tab w:pos="9237" w:val="right" w:leader="dot"/>
            </w:tabs>
            <w:rPr>
              <w:rFonts w:ascii="Calibri"/>
            </w:rPr>
          </w:pPr>
          <w:hyperlink w:history="true" w:anchor="_bookmark17">
            <w:r>
              <w:rPr/>
              <w:t>Reconciling</w:t>
            </w:r>
            <w:r>
              <w:rPr>
                <w:spacing w:val="1"/>
              </w:rPr>
              <w:t> </w:t>
            </w:r>
            <w:r>
              <w:rPr/>
              <w:t>Inconsistent</w:t>
            </w:r>
            <w:r>
              <w:rPr>
                <w:spacing w:val="-6"/>
              </w:rPr>
              <w:t> </w:t>
            </w:r>
            <w:r>
              <w:rPr/>
              <w:t>Financials</w:t>
              <w:tab/>
            </w:r>
            <w:r>
              <w:rPr>
                <w:rFonts w:ascii="Calibri"/>
              </w:rPr>
              <w:t>18</w:t>
            </w:r>
          </w:hyperlink>
        </w:p>
        <w:p>
          <w:pPr>
            <w:pStyle w:val="TOC2"/>
            <w:tabs>
              <w:tab w:pos="9237" w:val="right" w:leader="dot"/>
            </w:tabs>
            <w:spacing w:before="118"/>
            <w:rPr>
              <w:rFonts w:ascii="Calibri"/>
            </w:rPr>
          </w:pPr>
          <w:hyperlink w:history="true" w:anchor="_bookmark18">
            <w:r>
              <w:rPr/>
              <w:t>Summary of Findings</w:t>
            </w:r>
            <w:r>
              <w:rPr>
                <w:spacing w:val="2"/>
              </w:rPr>
              <w:t> </w:t>
            </w:r>
            <w:r>
              <w:rPr/>
              <w:t>and Recommendations</w:t>
              <w:tab/>
            </w:r>
            <w:r>
              <w:rPr>
                <w:rFonts w:ascii="Calibri"/>
              </w:rPr>
              <w:t>20</w:t>
            </w:r>
          </w:hyperlink>
        </w:p>
        <w:p>
          <w:pPr>
            <w:pStyle w:val="TOC1"/>
            <w:tabs>
              <w:tab w:pos="9236" w:val="right" w:leader="dot"/>
            </w:tabs>
            <w:spacing w:before="122"/>
            <w:rPr>
              <w:rFonts w:ascii="Calibri"/>
            </w:rPr>
          </w:pPr>
          <w:hyperlink w:history="true" w:anchor="_bookmark19">
            <w:r>
              <w:rPr/>
              <w:t>Introduction</w:t>
            </w:r>
            <w:r>
              <w:rPr>
                <w:spacing w:val="-4"/>
              </w:rPr>
              <w:t> </w:t>
            </w:r>
            <w:r>
              <w:rPr/>
              <w:t>and</w:t>
            </w:r>
            <w:r>
              <w:rPr>
                <w:spacing w:val="-2"/>
              </w:rPr>
              <w:t> </w:t>
            </w:r>
            <w:r>
              <w:rPr/>
              <w:t>Scope</w:t>
              <w:tab/>
            </w:r>
            <w:r>
              <w:rPr>
                <w:rFonts w:ascii="Calibri"/>
              </w:rPr>
              <w:t>24</w:t>
            </w:r>
          </w:hyperlink>
        </w:p>
        <w:p>
          <w:pPr>
            <w:pStyle w:val="TOC1"/>
            <w:tabs>
              <w:tab w:pos="9236" w:val="right" w:leader="dot"/>
            </w:tabs>
            <w:rPr>
              <w:rFonts w:ascii="Calibri"/>
            </w:rPr>
          </w:pPr>
          <w:hyperlink w:history="true" w:anchor="_bookmark20">
            <w:r>
              <w:rPr/>
              <w:t>Related</w:t>
            </w:r>
            <w:r>
              <w:rPr>
                <w:spacing w:val="-2"/>
              </w:rPr>
              <w:t> </w:t>
            </w:r>
            <w:r>
              <w:rPr/>
              <w:t>Party</w:t>
            </w:r>
            <w:r>
              <w:rPr>
                <w:spacing w:val="-9"/>
              </w:rPr>
              <w:t> </w:t>
            </w:r>
            <w:r>
              <w:rPr/>
              <w:t>Transactions</w:t>
              <w:tab/>
            </w:r>
            <w:r>
              <w:rPr>
                <w:rFonts w:ascii="Calibri"/>
              </w:rPr>
              <w:t>27</w:t>
            </w:r>
          </w:hyperlink>
        </w:p>
        <w:p>
          <w:pPr>
            <w:pStyle w:val="TOC2"/>
            <w:tabs>
              <w:tab w:pos="9236" w:val="right" w:leader="dot"/>
            </w:tabs>
            <w:spacing w:before="122"/>
            <w:rPr>
              <w:rFonts w:ascii="Calibri"/>
            </w:rPr>
          </w:pPr>
          <w:hyperlink w:history="true" w:anchor="_bookmark21">
            <w:r>
              <w:rPr/>
              <w:t>Behavior can be moderated</w:t>
            </w:r>
            <w:r>
              <w:rPr>
                <w:spacing w:val="-6"/>
              </w:rPr>
              <w:t> </w:t>
            </w:r>
            <w:r>
              <w:rPr/>
              <w:t>through</w:t>
            </w:r>
            <w:r>
              <w:rPr>
                <w:spacing w:val="-7"/>
              </w:rPr>
              <w:t> </w:t>
            </w:r>
            <w:r>
              <w:rPr/>
              <w:t>regulation</w:t>
              <w:tab/>
            </w:r>
            <w:r>
              <w:rPr>
                <w:rFonts w:ascii="Calibri"/>
              </w:rPr>
              <w:t>27</w:t>
            </w:r>
          </w:hyperlink>
        </w:p>
        <w:p>
          <w:pPr>
            <w:pStyle w:val="TOC2"/>
            <w:tabs>
              <w:tab w:pos="9237" w:val="right" w:leader="dot"/>
            </w:tabs>
            <w:spacing w:before="119"/>
            <w:rPr>
              <w:rFonts w:ascii="Calibri"/>
            </w:rPr>
          </w:pPr>
          <w:hyperlink w:history="true" w:anchor="_bookmark22">
            <w:r>
              <w:rPr/>
              <w:t>Statistics on Related</w:t>
            </w:r>
            <w:r>
              <w:rPr>
                <w:spacing w:val="-9"/>
              </w:rPr>
              <w:t> </w:t>
            </w:r>
            <w:r>
              <w:rPr/>
              <w:t>Party</w:t>
            </w:r>
            <w:r>
              <w:rPr>
                <w:spacing w:val="-4"/>
              </w:rPr>
              <w:t> </w:t>
            </w:r>
            <w:r>
              <w:rPr/>
              <w:t>Transactions</w:t>
              <w:tab/>
            </w:r>
            <w:r>
              <w:rPr>
                <w:rFonts w:ascii="Calibri"/>
              </w:rPr>
              <w:t>27</w:t>
            </w:r>
          </w:hyperlink>
        </w:p>
        <w:p>
          <w:pPr>
            <w:pStyle w:val="TOC2"/>
            <w:tabs>
              <w:tab w:pos="9236" w:val="right" w:leader="dot"/>
            </w:tabs>
            <w:spacing w:before="119"/>
            <w:rPr>
              <w:rFonts w:ascii="Calibri"/>
            </w:rPr>
          </w:pPr>
          <w:hyperlink w:history="true" w:anchor="_bookmark23">
            <w:r>
              <w:rPr/>
              <w:t>The Rules for Public School Administration</w:t>
            </w:r>
            <w:r>
              <w:rPr>
                <w:spacing w:val="-6"/>
              </w:rPr>
              <w:t> </w:t>
            </w:r>
            <w:r>
              <w:rPr/>
              <w:t>and</w:t>
            </w:r>
            <w:r>
              <w:rPr>
                <w:spacing w:val="-5"/>
              </w:rPr>
              <w:t> </w:t>
            </w:r>
            <w:r>
              <w:rPr/>
              <w:t>Governance</w:t>
              <w:tab/>
            </w:r>
            <w:r>
              <w:rPr>
                <w:rFonts w:ascii="Calibri"/>
              </w:rPr>
              <w:t>28</w:t>
            </w:r>
          </w:hyperlink>
        </w:p>
        <w:p>
          <w:pPr>
            <w:pStyle w:val="TOC2"/>
            <w:tabs>
              <w:tab w:pos="9236" w:val="right" w:leader="dot"/>
            </w:tabs>
            <w:spacing w:before="119"/>
            <w:rPr>
              <w:rFonts w:ascii="Calibri"/>
            </w:rPr>
          </w:pPr>
          <w:hyperlink w:history="true" w:anchor="_bookmark24">
            <w:r>
              <w:rPr/>
              <w:t>Table 1: Rules for District v.</w:t>
            </w:r>
            <w:r>
              <w:rPr>
                <w:spacing w:val="0"/>
              </w:rPr>
              <w:t> </w:t>
            </w:r>
            <w:r>
              <w:rPr/>
              <w:t>Charter Schools</w:t>
              <w:tab/>
            </w:r>
            <w:r>
              <w:rPr>
                <w:rFonts w:ascii="Calibri"/>
              </w:rPr>
              <w:t>29</w:t>
            </w:r>
          </w:hyperlink>
        </w:p>
        <w:p>
          <w:pPr>
            <w:pStyle w:val="TOC2"/>
            <w:tabs>
              <w:tab w:pos="9236" w:val="right" w:leader="dot"/>
            </w:tabs>
            <w:spacing w:before="119"/>
            <w:rPr>
              <w:rFonts w:ascii="Calibri"/>
            </w:rPr>
          </w:pPr>
          <w:hyperlink w:history="true" w:anchor="_bookmark25">
            <w:r>
              <w:rPr/>
              <w:t>Widespread</w:t>
            </w:r>
            <w:r>
              <w:rPr>
                <w:spacing w:val="-3"/>
              </w:rPr>
              <w:t> </w:t>
            </w:r>
            <w:r>
              <w:rPr/>
              <w:t>Practice</w:t>
              <w:tab/>
            </w:r>
            <w:r>
              <w:rPr>
                <w:rFonts w:ascii="Calibri"/>
              </w:rPr>
              <w:t>31</w:t>
            </w:r>
          </w:hyperlink>
        </w:p>
        <w:p>
          <w:pPr>
            <w:pStyle w:val="TOC2"/>
            <w:tabs>
              <w:tab w:pos="9236" w:val="right" w:leader="dot"/>
            </w:tabs>
            <w:spacing w:before="122"/>
            <w:rPr>
              <w:rFonts w:ascii="Calibri"/>
            </w:rPr>
          </w:pPr>
          <w:hyperlink w:history="true" w:anchor="_bookmark26">
            <w:r>
              <w:rPr/>
              <w:t>Figure 1 Related-Party Transactions at Arizona</w:t>
            </w:r>
            <w:r>
              <w:rPr>
                <w:spacing w:val="-17"/>
              </w:rPr>
              <w:t> </w:t>
            </w:r>
            <w:r>
              <w:rPr/>
              <w:t>Charter Schools</w:t>
              <w:tab/>
            </w:r>
            <w:r>
              <w:rPr>
                <w:rFonts w:ascii="Calibri"/>
              </w:rPr>
              <w:t>32</w:t>
            </w:r>
          </w:hyperlink>
        </w:p>
        <w:p>
          <w:pPr>
            <w:pStyle w:val="TOC2"/>
            <w:tabs>
              <w:tab w:pos="9236" w:val="right" w:leader="dot"/>
            </w:tabs>
            <w:spacing w:before="118"/>
            <w:rPr>
              <w:rFonts w:ascii="Calibri"/>
            </w:rPr>
          </w:pPr>
          <w:hyperlink w:history="true" w:anchor="_bookmark29">
            <w:r>
              <w:rPr/>
              <w:t>Figure 2: Nonprofit and For Profit Coordination</w:t>
            </w:r>
            <w:r>
              <w:rPr>
                <w:spacing w:val="-7"/>
              </w:rPr>
              <w:t> </w:t>
            </w:r>
            <w:r>
              <w:rPr/>
              <w:t>in</w:t>
            </w:r>
            <w:r>
              <w:rPr>
                <w:spacing w:val="-5"/>
              </w:rPr>
              <w:t> </w:t>
            </w:r>
            <w:r>
              <w:rPr/>
              <w:t>Charters</w:t>
              <w:tab/>
            </w:r>
            <w:r>
              <w:rPr>
                <w:rFonts w:ascii="Calibri"/>
              </w:rPr>
              <w:t>3</w:t>
            </w:r>
          </w:hyperlink>
          <w:r>
            <w:rPr>
              <w:rFonts w:ascii="Calibri"/>
            </w:rPr>
            <w:t>4</w:t>
          </w:r>
        </w:p>
        <w:p>
          <w:pPr>
            <w:pStyle w:val="TOC2"/>
            <w:tabs>
              <w:tab w:pos="9236" w:val="right" w:leader="dot"/>
            </w:tabs>
            <w:spacing w:before="122"/>
            <w:rPr>
              <w:rFonts w:ascii="Calibri"/>
            </w:rPr>
          </w:pPr>
          <w:hyperlink w:history="true" w:anchor="_bookmark30">
            <w:r>
              <w:rPr/>
              <w:t>Non-Competitive Related-Party Transactions</w:t>
            </w:r>
            <w:r>
              <w:rPr>
                <w:spacing w:val="-14"/>
              </w:rPr>
              <w:t> </w:t>
            </w:r>
            <w:r>
              <w:rPr/>
              <w:t>Add up</w:t>
              <w:tab/>
            </w:r>
            <w:r>
              <w:rPr>
                <w:rFonts w:ascii="Calibri"/>
              </w:rPr>
              <w:t>35</w:t>
            </w:r>
          </w:hyperlink>
        </w:p>
        <w:p>
          <w:pPr>
            <w:pStyle w:val="TOC2"/>
            <w:tabs>
              <w:tab w:pos="9237" w:val="right" w:leader="dot"/>
            </w:tabs>
            <w:rPr>
              <w:rFonts w:ascii="Calibri"/>
            </w:rPr>
          </w:pPr>
          <w:hyperlink w:history="true" w:anchor="_bookmark33">
            <w:r>
              <w:rPr/>
              <w:t>An Exemplar: Arizona Large Charter in the</w:t>
            </w:r>
            <w:r>
              <w:rPr>
                <w:spacing w:val="-6"/>
              </w:rPr>
              <w:t> </w:t>
            </w:r>
            <w:r>
              <w:rPr/>
              <w:t>23</w:t>
            </w:r>
            <w:r>
              <w:rPr>
                <w:spacing w:val="-5"/>
              </w:rPr>
              <w:t> </w:t>
            </w:r>
            <w:r>
              <w:rPr/>
              <w:t>Percent</w:t>
              <w:tab/>
            </w:r>
            <w:r>
              <w:rPr>
                <w:rFonts w:ascii="Calibri"/>
              </w:rPr>
              <w:t>36</w:t>
            </w:r>
          </w:hyperlink>
        </w:p>
        <w:p>
          <w:pPr>
            <w:pStyle w:val="TOC2"/>
            <w:tabs>
              <w:tab w:pos="9237" w:val="right" w:leader="dot"/>
            </w:tabs>
            <w:rPr>
              <w:rFonts w:ascii="Calibri"/>
            </w:rPr>
          </w:pPr>
          <w:hyperlink w:history="true" w:anchor="_bookmark34">
            <w:r>
              <w:rPr/>
              <w:t>Charter Sales of Property and Assets follow this Pattern of</w:t>
            </w:r>
            <w:r>
              <w:rPr>
                <w:spacing w:val="-30"/>
              </w:rPr>
              <w:t> </w:t>
            </w:r>
            <w:r>
              <w:rPr/>
              <w:t>Insider Dealing</w:t>
              <w:tab/>
            </w:r>
            <w:r>
              <w:rPr>
                <w:rFonts w:ascii="Calibri"/>
              </w:rPr>
              <w:t>36</w:t>
            </w:r>
          </w:hyperlink>
        </w:p>
        <w:p>
          <w:pPr>
            <w:pStyle w:val="TOC2"/>
            <w:tabs>
              <w:tab w:pos="9237" w:val="right" w:leader="dot"/>
            </w:tabs>
            <w:rPr>
              <w:rFonts w:ascii="Calibri"/>
            </w:rPr>
          </w:pPr>
          <w:hyperlink w:history="true" w:anchor="_bookmark36">
            <w:r>
              <w:rPr/>
              <w:t>Related-Party Transactions at Primavera Technical</w:t>
            </w:r>
            <w:r>
              <w:rPr>
                <w:spacing w:val="-19"/>
              </w:rPr>
              <w:t> </w:t>
            </w:r>
            <w:r>
              <w:rPr/>
              <w:t>Learning</w:t>
            </w:r>
            <w:r>
              <w:rPr>
                <w:spacing w:val="1"/>
              </w:rPr>
              <w:t> </w:t>
            </w:r>
            <w:r>
              <w:rPr/>
              <w:t>Center</w:t>
              <w:tab/>
            </w:r>
            <w:r>
              <w:rPr>
                <w:rFonts w:ascii="Calibri"/>
              </w:rPr>
              <w:t>37</w:t>
            </w:r>
          </w:hyperlink>
        </w:p>
        <w:p>
          <w:pPr>
            <w:pStyle w:val="TOC2"/>
            <w:tabs>
              <w:tab w:pos="9237" w:val="right" w:leader="dot"/>
            </w:tabs>
            <w:ind w:left="319"/>
            <w:rPr>
              <w:rFonts w:ascii="Calibri"/>
            </w:rPr>
          </w:pPr>
          <w:hyperlink w:history="true" w:anchor="_bookmark41">
            <w:r>
              <w:rPr/>
              <w:t>Exploring Issues Raised by the Arizona Republic five</w:t>
            </w:r>
            <w:r>
              <w:rPr>
                <w:spacing w:val="-13"/>
              </w:rPr>
              <w:t> </w:t>
            </w:r>
            <w:r>
              <w:rPr/>
              <w:t>years ago</w:t>
              <w:tab/>
            </w:r>
            <w:r>
              <w:rPr>
                <w:rFonts w:ascii="Calibri"/>
              </w:rPr>
              <w:t>40</w:t>
            </w:r>
          </w:hyperlink>
        </w:p>
        <w:p>
          <w:pPr>
            <w:pStyle w:val="TOC1"/>
            <w:tabs>
              <w:tab w:pos="9237" w:val="right" w:leader="dot"/>
            </w:tabs>
            <w:spacing w:before="122"/>
            <w:rPr>
              <w:rFonts w:ascii="Calibri"/>
            </w:rPr>
          </w:pPr>
          <w:hyperlink w:history="true" w:anchor="_bookmark43">
            <w:r>
              <w:rPr/>
              <w:t>High</w:t>
            </w:r>
            <w:r>
              <w:rPr>
                <w:spacing w:val="-1"/>
              </w:rPr>
              <w:t> </w:t>
            </w:r>
            <w:r>
              <w:rPr/>
              <w:t>Executive Salaries</w:t>
              <w:tab/>
            </w:r>
            <w:r>
              <w:rPr>
                <w:rFonts w:ascii="Calibri"/>
              </w:rPr>
              <w:t>44</w:t>
            </w:r>
          </w:hyperlink>
        </w:p>
        <w:p>
          <w:pPr>
            <w:pStyle w:val="TOC2"/>
            <w:tabs>
              <w:tab w:pos="9237" w:val="right" w:leader="dot"/>
            </w:tabs>
            <w:spacing w:before="117"/>
            <w:ind w:left="319"/>
            <w:rPr>
              <w:rFonts w:ascii="Calibri"/>
            </w:rPr>
          </w:pPr>
          <w:hyperlink w:history="true" w:anchor="_bookmark44">
            <w:r>
              <w:rPr/>
              <w:t>Table 2:  Superintendent Salaries for Districts with</w:t>
            </w:r>
            <w:r>
              <w:rPr>
                <w:spacing w:val="-13"/>
              </w:rPr>
              <w:t> </w:t>
            </w:r>
            <w:r>
              <w:rPr/>
              <w:t>600-1,200</w:t>
            </w:r>
            <w:r>
              <w:rPr>
                <w:spacing w:val="-3"/>
              </w:rPr>
              <w:t> </w:t>
            </w:r>
            <w:r>
              <w:rPr/>
              <w:t>Students</w:t>
              <w:tab/>
            </w:r>
            <w:r>
              <w:rPr>
                <w:rFonts w:ascii="Calibri"/>
              </w:rPr>
              <w:t>46</w:t>
            </w:r>
          </w:hyperlink>
        </w:p>
        <w:p>
          <w:pPr>
            <w:pStyle w:val="TOC2"/>
            <w:tabs>
              <w:tab w:pos="9237" w:val="right" w:leader="dot"/>
            </w:tabs>
            <w:spacing w:before="122"/>
            <w:ind w:left="319"/>
            <w:rPr>
              <w:rFonts w:ascii="Calibri"/>
            </w:rPr>
          </w:pPr>
          <w:hyperlink w:history="true" w:anchor="_bookmark45">
            <w:r>
              <w:rPr/>
              <w:t>Table 3: Sample Salaries of Superintendents in</w:t>
            </w:r>
            <w:r>
              <w:rPr>
                <w:spacing w:val="-1"/>
              </w:rPr>
              <w:t> </w:t>
            </w:r>
            <w:r>
              <w:rPr/>
              <w:t>Large Districts</w:t>
              <w:tab/>
            </w:r>
            <w:r>
              <w:rPr>
                <w:rFonts w:ascii="Calibri"/>
              </w:rPr>
              <w:t>47</w:t>
            </w:r>
          </w:hyperlink>
        </w:p>
        <w:p>
          <w:pPr>
            <w:pStyle w:val="TOC2"/>
            <w:ind w:left="303" w:right="346"/>
            <w:jc w:val="center"/>
          </w:pPr>
          <w:hyperlink w:history="true" w:anchor="_bookmark46">
            <w:r>
              <w:rPr/>
              <w:t>Table 4: Owner and Administrator Salary in Nonprofit Charters that Reported on IRS 990s</w:t>
            </w:r>
          </w:hyperlink>
        </w:p>
        <w:p>
          <w:pPr>
            <w:pStyle w:val="TOC2"/>
            <w:spacing w:before="17"/>
            <w:ind w:left="372"/>
            <w:rPr>
              <w:rFonts w:ascii="Calibri"/>
            </w:rPr>
          </w:pPr>
          <w:hyperlink w:history="true" w:anchor="_bookmark46">
            <w:r>
              <w:rPr>
                <w:rFonts w:ascii="Calibri"/>
              </w:rPr>
              <w:t>............................................................................................................................................................  49</w:t>
            </w:r>
          </w:hyperlink>
        </w:p>
        <w:p>
          <w:pPr>
            <w:pStyle w:val="TOC1"/>
            <w:tabs>
              <w:tab w:pos="9237" w:val="right" w:leader="dot"/>
            </w:tabs>
            <w:rPr>
              <w:rFonts w:ascii="Calibri"/>
            </w:rPr>
          </w:pPr>
          <w:hyperlink w:history="true" w:anchor="_bookmark47">
            <w:r>
              <w:rPr/>
              <w:t>Questionable</w:t>
            </w:r>
            <w:r>
              <w:rPr>
                <w:spacing w:val="-5"/>
              </w:rPr>
              <w:t> </w:t>
            </w:r>
            <w:r>
              <w:rPr/>
              <w:t>Profit</w:t>
            </w:r>
            <w:r>
              <w:rPr>
                <w:spacing w:val="-2"/>
              </w:rPr>
              <w:t> </w:t>
            </w:r>
            <w:r>
              <w:rPr/>
              <w:t>Distributions</w:t>
              <w:tab/>
            </w:r>
            <w:r>
              <w:rPr>
                <w:rFonts w:ascii="Calibri"/>
              </w:rPr>
              <w:t>56</w:t>
            </w:r>
          </w:hyperlink>
        </w:p>
      </w:sdtContent>
    </w:sdt>
    <w:p>
      <w:pPr>
        <w:spacing w:after="0"/>
        <w:rPr>
          <w:rFonts w:ascii="Calibri"/>
        </w:rPr>
        <w:sectPr>
          <w:pgSz w:w="12240" w:h="15840"/>
          <w:pgMar w:header="740" w:footer="1002" w:top="940" w:bottom="1200" w:left="1560" w:right="1260"/>
        </w:sectPr>
      </w:pPr>
    </w:p>
    <w:p>
      <w:pPr>
        <w:tabs>
          <w:tab w:pos="9237" w:val="right" w:leader="dot"/>
        </w:tabs>
        <w:spacing w:line="261" w:lineRule="exact" w:before="0"/>
        <w:ind w:left="319" w:right="0" w:firstLine="0"/>
        <w:jc w:val="left"/>
        <w:rPr>
          <w:rFonts w:ascii="Calibri"/>
          <w:sz w:val="22"/>
        </w:rPr>
      </w:pPr>
      <w:hyperlink w:history="true" w:anchor="_bookmark48">
        <w:r>
          <w:rPr>
            <w:sz w:val="22"/>
          </w:rPr>
          <w:t>Figure 3: S&amp;P Net</w:t>
        </w:r>
        <w:r>
          <w:rPr>
            <w:spacing w:val="-7"/>
            <w:sz w:val="22"/>
          </w:rPr>
          <w:t> </w:t>
        </w:r>
        <w:r>
          <w:rPr>
            <w:sz w:val="22"/>
          </w:rPr>
          <w:t>Profits</w:t>
        </w:r>
        <w:r>
          <w:rPr>
            <w:spacing w:val="-3"/>
            <w:sz w:val="22"/>
          </w:rPr>
          <w:t> </w:t>
        </w:r>
        <w:r>
          <w:rPr>
            <w:sz w:val="22"/>
          </w:rPr>
          <w:t>1992-2017</w:t>
          <w:tab/>
        </w:r>
        <w:r>
          <w:rPr>
            <w:rFonts w:ascii="Calibri"/>
            <w:sz w:val="22"/>
          </w:rPr>
          <w:t>57</w:t>
        </w:r>
      </w:hyperlink>
    </w:p>
    <w:p>
      <w:pPr>
        <w:tabs>
          <w:tab w:pos="9237" w:val="right" w:leader="dot"/>
        </w:tabs>
        <w:spacing w:before="118"/>
        <w:ind w:left="319" w:right="0" w:firstLine="0"/>
        <w:jc w:val="left"/>
        <w:rPr>
          <w:rFonts w:ascii="Calibri"/>
          <w:sz w:val="22"/>
        </w:rPr>
      </w:pPr>
      <w:hyperlink w:history="true" w:anchor="_bookmark50">
        <w:r>
          <w:rPr>
            <w:sz w:val="22"/>
          </w:rPr>
          <w:t>Table 5:  Excessive Distributions of 8 for-profit charters in Arizona</w:t>
        </w:r>
        <w:r>
          <w:rPr>
            <w:spacing w:val="-23"/>
            <w:sz w:val="22"/>
          </w:rPr>
          <w:t> </w:t>
        </w:r>
        <w:r>
          <w:rPr>
            <w:sz w:val="22"/>
          </w:rPr>
          <w:t>in</w:t>
        </w:r>
        <w:r>
          <w:rPr>
            <w:spacing w:val="-4"/>
            <w:sz w:val="22"/>
          </w:rPr>
          <w:t> </w:t>
        </w:r>
        <w:r>
          <w:rPr>
            <w:sz w:val="22"/>
          </w:rPr>
          <w:t>2014-2015</w:t>
          <w:tab/>
        </w:r>
        <w:r>
          <w:rPr>
            <w:rFonts w:ascii="Calibri"/>
            <w:sz w:val="22"/>
          </w:rPr>
          <w:t>58</w:t>
        </w:r>
      </w:hyperlink>
    </w:p>
    <w:p>
      <w:pPr>
        <w:tabs>
          <w:tab w:pos="9237" w:val="right" w:leader="dot"/>
        </w:tabs>
        <w:spacing w:before="124"/>
        <w:ind w:left="319" w:right="0" w:firstLine="0"/>
        <w:jc w:val="left"/>
        <w:rPr>
          <w:rFonts w:ascii="Calibri"/>
          <w:sz w:val="22"/>
        </w:rPr>
      </w:pPr>
      <w:hyperlink w:history="true" w:anchor="_bookmark51">
        <w:r>
          <w:rPr>
            <w:sz w:val="22"/>
          </w:rPr>
          <w:t>Table 6: Sample of For-Profit</w:t>
        </w:r>
        <w:r>
          <w:rPr>
            <w:spacing w:val="0"/>
            <w:sz w:val="22"/>
          </w:rPr>
          <w:t> </w:t>
        </w:r>
        <w:r>
          <w:rPr>
            <w:sz w:val="22"/>
          </w:rPr>
          <w:t>Charter Distributions</w:t>
          <w:tab/>
        </w:r>
        <w:r>
          <w:rPr>
            <w:rFonts w:ascii="Calibri"/>
            <w:sz w:val="22"/>
          </w:rPr>
          <w:t>59</w:t>
        </w:r>
      </w:hyperlink>
    </w:p>
    <w:p>
      <w:pPr>
        <w:tabs>
          <w:tab w:pos="9237" w:val="right" w:leader="dot"/>
        </w:tabs>
        <w:spacing w:before="119"/>
        <w:ind w:left="101" w:right="0" w:firstLine="0"/>
        <w:jc w:val="left"/>
        <w:rPr>
          <w:rFonts w:ascii="Calibri"/>
          <w:b/>
          <w:sz w:val="22"/>
        </w:rPr>
      </w:pPr>
      <w:hyperlink w:history="true" w:anchor="_bookmark52">
        <w:r>
          <w:rPr>
            <w:b/>
            <w:sz w:val="22"/>
          </w:rPr>
          <w:t>Reduced</w:t>
        </w:r>
        <w:r>
          <w:rPr>
            <w:b/>
            <w:spacing w:val="-1"/>
            <w:sz w:val="22"/>
          </w:rPr>
          <w:t> </w:t>
        </w:r>
        <w:r>
          <w:rPr>
            <w:b/>
            <w:sz w:val="22"/>
          </w:rPr>
          <w:t>Classroom</w:t>
        </w:r>
        <w:r>
          <w:rPr>
            <w:b/>
            <w:spacing w:val="-2"/>
            <w:sz w:val="22"/>
          </w:rPr>
          <w:t> </w:t>
        </w:r>
        <w:r>
          <w:rPr>
            <w:b/>
            <w:sz w:val="22"/>
          </w:rPr>
          <w:t>Spending</w:t>
          <w:tab/>
        </w:r>
        <w:r>
          <w:rPr>
            <w:rFonts w:ascii="Calibri"/>
            <w:b/>
            <w:sz w:val="22"/>
          </w:rPr>
          <w:t>60</w:t>
        </w:r>
      </w:hyperlink>
    </w:p>
    <w:p>
      <w:pPr>
        <w:tabs>
          <w:tab w:pos="9237" w:val="right" w:leader="dot"/>
        </w:tabs>
        <w:spacing w:before="119"/>
        <w:ind w:left="319" w:right="0" w:firstLine="0"/>
        <w:jc w:val="left"/>
        <w:rPr>
          <w:rFonts w:ascii="Calibri"/>
          <w:sz w:val="22"/>
        </w:rPr>
      </w:pPr>
      <w:hyperlink w:history="true" w:anchor="_bookmark53">
        <w:r>
          <w:rPr>
            <w:sz w:val="22"/>
          </w:rPr>
          <w:t>Figure 4: District Spending</w:t>
        </w:r>
        <w:r>
          <w:rPr>
            <w:spacing w:val="-5"/>
            <w:sz w:val="22"/>
          </w:rPr>
          <w:t> </w:t>
        </w:r>
        <w:r>
          <w:rPr>
            <w:sz w:val="22"/>
          </w:rPr>
          <w:t>for 2013-2014</w:t>
          <w:tab/>
        </w:r>
        <w:r>
          <w:rPr>
            <w:rFonts w:ascii="Calibri"/>
            <w:sz w:val="22"/>
          </w:rPr>
          <w:t>60</w:t>
        </w:r>
      </w:hyperlink>
    </w:p>
    <w:p>
      <w:pPr>
        <w:tabs>
          <w:tab w:pos="9237" w:val="right" w:leader="dot"/>
        </w:tabs>
        <w:spacing w:before="119"/>
        <w:ind w:left="319" w:right="0" w:firstLine="0"/>
        <w:jc w:val="left"/>
        <w:rPr>
          <w:rFonts w:ascii="Calibri"/>
          <w:sz w:val="22"/>
        </w:rPr>
      </w:pPr>
      <w:hyperlink w:history="true" w:anchor="_bookmark54">
        <w:r>
          <w:rPr>
            <w:sz w:val="22"/>
          </w:rPr>
          <w:t>Figure 5: Charter Spending</w:t>
        </w:r>
        <w:r>
          <w:rPr>
            <w:spacing w:val="-11"/>
            <w:sz w:val="22"/>
          </w:rPr>
          <w:t> </w:t>
        </w:r>
        <w:r>
          <w:rPr>
            <w:sz w:val="22"/>
          </w:rPr>
          <w:t>for</w:t>
        </w:r>
        <w:r>
          <w:rPr>
            <w:spacing w:val="-2"/>
            <w:sz w:val="22"/>
          </w:rPr>
          <w:t> </w:t>
        </w:r>
        <w:r>
          <w:rPr>
            <w:sz w:val="22"/>
          </w:rPr>
          <w:t>2013-2014</w:t>
          <w:tab/>
        </w:r>
        <w:r>
          <w:rPr>
            <w:rFonts w:ascii="Calibri"/>
            <w:sz w:val="22"/>
          </w:rPr>
          <w:t>61</w:t>
        </w:r>
      </w:hyperlink>
    </w:p>
    <w:p>
      <w:pPr>
        <w:tabs>
          <w:tab w:pos="9237" w:val="right" w:leader="dot"/>
        </w:tabs>
        <w:spacing w:before="122"/>
        <w:ind w:left="319" w:right="0" w:firstLine="0"/>
        <w:jc w:val="left"/>
        <w:rPr>
          <w:rFonts w:ascii="Calibri"/>
          <w:sz w:val="22"/>
        </w:rPr>
      </w:pPr>
      <w:hyperlink w:history="true" w:anchor="_bookmark56">
        <w:r>
          <w:rPr>
            <w:sz w:val="22"/>
          </w:rPr>
          <w:t>Administrative Accounting at Charters is</w:t>
        </w:r>
        <w:r>
          <w:rPr>
            <w:spacing w:val="-7"/>
            <w:sz w:val="22"/>
          </w:rPr>
          <w:t> </w:t>
        </w:r>
        <w:r>
          <w:rPr>
            <w:sz w:val="22"/>
          </w:rPr>
          <w:t>Fatally</w:t>
        </w:r>
        <w:r>
          <w:rPr>
            <w:spacing w:val="-5"/>
            <w:sz w:val="22"/>
          </w:rPr>
          <w:t> </w:t>
        </w:r>
        <w:r>
          <w:rPr>
            <w:sz w:val="22"/>
          </w:rPr>
          <w:t>Flawed</w:t>
          <w:tab/>
        </w:r>
        <w:r>
          <w:rPr>
            <w:rFonts w:ascii="Calibri"/>
            <w:sz w:val="22"/>
          </w:rPr>
          <w:t>62</w:t>
        </w:r>
      </w:hyperlink>
    </w:p>
    <w:p>
      <w:pPr>
        <w:tabs>
          <w:tab w:pos="9237" w:val="right" w:leader="dot"/>
        </w:tabs>
        <w:spacing w:before="120"/>
        <w:ind w:left="101" w:right="0" w:firstLine="0"/>
        <w:jc w:val="left"/>
        <w:rPr>
          <w:rFonts w:ascii="Calibri"/>
          <w:b/>
          <w:sz w:val="22"/>
        </w:rPr>
      </w:pPr>
      <w:hyperlink w:history="true" w:anchor="_bookmark58">
        <w:r>
          <w:rPr>
            <w:b/>
            <w:sz w:val="22"/>
          </w:rPr>
          <w:t>Academic Underperformance</w:t>
          <w:tab/>
        </w:r>
        <w:r>
          <w:rPr>
            <w:rFonts w:ascii="Calibri"/>
            <w:b/>
            <w:sz w:val="22"/>
          </w:rPr>
          <w:t>64</w:t>
        </w:r>
      </w:hyperlink>
    </w:p>
    <w:p>
      <w:pPr>
        <w:tabs>
          <w:tab w:pos="9237" w:val="right" w:leader="dot"/>
        </w:tabs>
        <w:spacing w:before="117"/>
        <w:ind w:left="319" w:right="0" w:firstLine="0"/>
        <w:jc w:val="left"/>
        <w:rPr>
          <w:rFonts w:ascii="Calibri"/>
          <w:sz w:val="22"/>
        </w:rPr>
      </w:pPr>
      <w:hyperlink w:history="true" w:anchor="_bookmark59">
        <w:r>
          <w:rPr>
            <w:sz w:val="22"/>
          </w:rPr>
          <w:t>Deliver</w:t>
        </w:r>
        <w:r>
          <w:rPr>
            <w:spacing w:val="1"/>
            <w:sz w:val="22"/>
          </w:rPr>
          <w:t> </w:t>
        </w:r>
        <w:r>
          <w:rPr>
            <w:sz w:val="22"/>
          </w:rPr>
          <w:t>or</w:t>
        </w:r>
        <w:r>
          <w:rPr>
            <w:spacing w:val="-10"/>
            <w:sz w:val="22"/>
          </w:rPr>
          <w:t> </w:t>
        </w:r>
        <w:r>
          <w:rPr>
            <w:sz w:val="22"/>
          </w:rPr>
          <w:t>What?</w:t>
          <w:tab/>
        </w:r>
        <w:r>
          <w:rPr>
            <w:rFonts w:ascii="Calibri"/>
            <w:sz w:val="22"/>
          </w:rPr>
          <w:t>65</w:t>
        </w:r>
      </w:hyperlink>
    </w:p>
    <w:p>
      <w:pPr>
        <w:tabs>
          <w:tab w:pos="9237" w:val="right" w:leader="dot"/>
        </w:tabs>
        <w:spacing w:before="122"/>
        <w:ind w:left="319" w:right="0" w:firstLine="0"/>
        <w:jc w:val="left"/>
        <w:rPr>
          <w:rFonts w:ascii="Calibri" w:hAnsi="Calibri"/>
          <w:sz w:val="22"/>
        </w:rPr>
      </w:pPr>
      <w:hyperlink w:history="true" w:anchor="_bookmark60">
        <w:r>
          <w:rPr>
            <w:sz w:val="22"/>
          </w:rPr>
          <w:t>Academic</w:t>
        </w:r>
        <w:r>
          <w:rPr>
            <w:spacing w:val="-1"/>
            <w:sz w:val="22"/>
          </w:rPr>
          <w:t> </w:t>
        </w:r>
        <w:r>
          <w:rPr>
            <w:sz w:val="22"/>
          </w:rPr>
          <w:t>Score</w:t>
        </w:r>
        <w:r>
          <w:rPr>
            <w:spacing w:val="-5"/>
            <w:sz w:val="22"/>
          </w:rPr>
          <w:t> </w:t>
        </w:r>
        <w:r>
          <w:rPr>
            <w:sz w:val="22"/>
          </w:rPr>
          <w:t>“Laundering”</w:t>
          <w:tab/>
        </w:r>
        <w:r>
          <w:rPr>
            <w:rFonts w:ascii="Calibri" w:hAnsi="Calibri"/>
            <w:sz w:val="22"/>
          </w:rPr>
          <w:t>66</w:t>
        </w:r>
      </w:hyperlink>
    </w:p>
    <w:p>
      <w:pPr>
        <w:tabs>
          <w:tab w:pos="9237" w:val="right" w:leader="dot"/>
        </w:tabs>
        <w:spacing w:before="117"/>
        <w:ind w:left="319" w:right="0" w:firstLine="0"/>
        <w:jc w:val="left"/>
        <w:rPr>
          <w:rFonts w:ascii="Calibri"/>
          <w:sz w:val="22"/>
        </w:rPr>
      </w:pPr>
      <w:hyperlink w:history="true" w:anchor="_bookmark63">
        <w:r>
          <w:rPr>
            <w:sz w:val="22"/>
          </w:rPr>
          <w:t>Table 7: Academic Grades at Charters</w:t>
        </w:r>
        <w:r>
          <w:rPr>
            <w:spacing w:val="-8"/>
            <w:sz w:val="22"/>
          </w:rPr>
          <w:t> </w:t>
        </w:r>
        <w:r>
          <w:rPr>
            <w:sz w:val="22"/>
          </w:rPr>
          <w:t>for</w:t>
        </w:r>
        <w:r>
          <w:rPr>
            <w:spacing w:val="-2"/>
            <w:sz w:val="22"/>
          </w:rPr>
          <w:t> </w:t>
        </w:r>
        <w:r>
          <w:rPr>
            <w:sz w:val="22"/>
          </w:rPr>
          <w:t>2013-2014</w:t>
          <w:tab/>
        </w:r>
        <w:r>
          <w:rPr>
            <w:rFonts w:ascii="Calibri"/>
            <w:sz w:val="22"/>
          </w:rPr>
          <w:t>67</w:t>
        </w:r>
      </w:hyperlink>
    </w:p>
    <w:p>
      <w:pPr>
        <w:tabs>
          <w:tab w:pos="9237" w:val="right" w:leader="dot"/>
        </w:tabs>
        <w:spacing w:before="122"/>
        <w:ind w:left="319" w:right="0" w:firstLine="0"/>
        <w:jc w:val="left"/>
        <w:rPr>
          <w:rFonts w:ascii="Calibri"/>
          <w:sz w:val="22"/>
        </w:rPr>
      </w:pPr>
      <w:hyperlink w:history="true" w:anchor="_bookmark64">
        <w:r>
          <w:rPr>
            <w:sz w:val="22"/>
          </w:rPr>
          <w:t>Grades for Charter Schools in Arizona for Year</w:t>
        </w:r>
        <w:r>
          <w:rPr>
            <w:spacing w:val="-11"/>
            <w:sz w:val="22"/>
          </w:rPr>
          <w:t> </w:t>
        </w:r>
        <w:r>
          <w:rPr>
            <w:sz w:val="22"/>
          </w:rPr>
          <w:t>Ending</w:t>
        </w:r>
        <w:r>
          <w:rPr>
            <w:spacing w:val="1"/>
            <w:sz w:val="22"/>
          </w:rPr>
          <w:t> </w:t>
        </w:r>
        <w:r>
          <w:rPr>
            <w:sz w:val="22"/>
          </w:rPr>
          <w:t>2014</w:t>
          <w:tab/>
        </w:r>
        <w:r>
          <w:rPr>
            <w:rFonts w:ascii="Calibri"/>
            <w:sz w:val="22"/>
          </w:rPr>
          <w:t>67</w:t>
        </w:r>
      </w:hyperlink>
    </w:p>
    <w:p>
      <w:pPr>
        <w:tabs>
          <w:tab w:pos="9237" w:val="right" w:leader="dot"/>
        </w:tabs>
        <w:spacing w:before="120"/>
        <w:ind w:left="319" w:right="0" w:firstLine="0"/>
        <w:jc w:val="left"/>
        <w:rPr>
          <w:rFonts w:ascii="Calibri"/>
          <w:sz w:val="22"/>
        </w:rPr>
      </w:pPr>
      <w:hyperlink w:history="true" w:anchor="_bookmark65">
        <w:r>
          <w:rPr>
            <w:sz w:val="22"/>
          </w:rPr>
          <w:t>Impartial</w:t>
        </w:r>
        <w:r>
          <w:rPr>
            <w:spacing w:val="-1"/>
            <w:sz w:val="22"/>
          </w:rPr>
          <w:t> </w:t>
        </w:r>
        <w:r>
          <w:rPr>
            <w:sz w:val="22"/>
          </w:rPr>
          <w:t>Academic Assessments</w:t>
          <w:tab/>
        </w:r>
        <w:r>
          <w:rPr>
            <w:rFonts w:ascii="Calibri"/>
            <w:sz w:val="22"/>
          </w:rPr>
          <w:t>67</w:t>
        </w:r>
      </w:hyperlink>
    </w:p>
    <w:p>
      <w:pPr>
        <w:tabs>
          <w:tab w:pos="9237" w:val="right" w:leader="dot"/>
        </w:tabs>
        <w:spacing w:before="120"/>
        <w:ind w:left="103" w:right="0" w:firstLine="0"/>
        <w:jc w:val="left"/>
        <w:rPr>
          <w:rFonts w:ascii="Calibri"/>
          <w:b/>
          <w:sz w:val="22"/>
        </w:rPr>
      </w:pPr>
      <w:hyperlink w:history="true" w:anchor="_bookmark68">
        <w:r>
          <w:rPr>
            <w:b/>
            <w:sz w:val="22"/>
          </w:rPr>
          <w:t>Reconciling</w:t>
        </w:r>
        <w:r>
          <w:rPr>
            <w:b/>
            <w:spacing w:val="-11"/>
            <w:sz w:val="22"/>
          </w:rPr>
          <w:t> </w:t>
        </w:r>
        <w:r>
          <w:rPr>
            <w:b/>
            <w:sz w:val="22"/>
          </w:rPr>
          <w:t>Inconsistent Financials</w:t>
          <w:tab/>
        </w:r>
        <w:r>
          <w:rPr>
            <w:rFonts w:ascii="Calibri"/>
            <w:b/>
            <w:sz w:val="22"/>
          </w:rPr>
          <w:t>73</w:t>
        </w:r>
      </w:hyperlink>
    </w:p>
    <w:p>
      <w:pPr>
        <w:tabs>
          <w:tab w:pos="9237" w:val="right" w:leader="dot"/>
        </w:tabs>
        <w:spacing w:before="122"/>
        <w:ind w:left="103" w:right="0" w:firstLine="0"/>
        <w:jc w:val="left"/>
        <w:rPr>
          <w:rFonts w:ascii="Calibri"/>
          <w:b/>
          <w:sz w:val="22"/>
        </w:rPr>
      </w:pPr>
      <w:hyperlink w:history="true" w:anchor="_bookmark70">
        <w:r>
          <w:rPr>
            <w:b/>
            <w:sz w:val="22"/>
          </w:rPr>
          <w:t>Conclusion and</w:t>
        </w:r>
        <w:r>
          <w:rPr>
            <w:b/>
            <w:spacing w:val="-4"/>
            <w:sz w:val="22"/>
          </w:rPr>
          <w:t> </w:t>
        </w:r>
        <w:r>
          <w:rPr>
            <w:b/>
            <w:sz w:val="22"/>
          </w:rPr>
          <w:t>Forthcoming</w:t>
        </w:r>
        <w:r>
          <w:rPr>
            <w:b/>
            <w:spacing w:val="-4"/>
            <w:sz w:val="22"/>
          </w:rPr>
          <w:t> </w:t>
        </w:r>
        <w:r>
          <w:rPr>
            <w:b/>
            <w:sz w:val="22"/>
          </w:rPr>
          <w:t>Reports</w:t>
          <w:tab/>
        </w:r>
        <w:r>
          <w:rPr>
            <w:rFonts w:ascii="Calibri"/>
            <w:b/>
            <w:sz w:val="22"/>
          </w:rPr>
          <w:t>76</w:t>
        </w:r>
      </w:hyperlink>
    </w:p>
    <w:p>
      <w:pPr>
        <w:tabs>
          <w:tab w:pos="9237" w:val="right" w:leader="dot"/>
        </w:tabs>
        <w:spacing w:before="120"/>
        <w:ind w:left="319" w:right="0" w:firstLine="0"/>
        <w:jc w:val="left"/>
        <w:rPr>
          <w:rFonts w:ascii="Calibri"/>
          <w:sz w:val="22"/>
        </w:rPr>
      </w:pPr>
      <w:hyperlink w:history="true" w:anchor="_bookmark71">
        <w:r>
          <w:rPr>
            <w:sz w:val="22"/>
          </w:rPr>
          <w:t>About the</w:t>
        </w:r>
        <w:r>
          <w:rPr>
            <w:spacing w:val="-1"/>
            <w:sz w:val="22"/>
          </w:rPr>
          <w:t> </w:t>
        </w:r>
        <w:r>
          <w:rPr>
            <w:sz w:val="22"/>
          </w:rPr>
          <w:t>Author</w:t>
          <w:tab/>
        </w:r>
        <w:r>
          <w:rPr>
            <w:rFonts w:ascii="Calibri"/>
            <w:sz w:val="22"/>
          </w:rPr>
          <w:t>77</w:t>
        </w:r>
      </w:hyperlink>
    </w:p>
    <w:p>
      <w:pPr>
        <w:tabs>
          <w:tab w:pos="9237" w:val="right" w:leader="dot"/>
        </w:tabs>
        <w:spacing w:before="123"/>
        <w:ind w:left="101" w:right="0" w:firstLine="0"/>
        <w:jc w:val="left"/>
        <w:rPr>
          <w:rFonts w:ascii="Calibri"/>
          <w:b/>
          <w:sz w:val="22"/>
        </w:rPr>
      </w:pPr>
      <w:hyperlink w:history="true" w:anchor="_bookmark72">
        <w:r>
          <w:rPr>
            <w:b/>
            <w:sz w:val="22"/>
          </w:rPr>
          <w:t>Bibliography</w:t>
          <w:tab/>
        </w:r>
        <w:r>
          <w:rPr>
            <w:rFonts w:ascii="Calibri"/>
            <w:b/>
            <w:sz w:val="22"/>
          </w:rPr>
          <w:t>79</w:t>
        </w:r>
      </w:hyperlink>
    </w:p>
    <w:p>
      <w:pPr>
        <w:tabs>
          <w:tab w:pos="9237" w:val="right" w:leader="dot"/>
        </w:tabs>
        <w:spacing w:before="117"/>
        <w:ind w:left="319" w:right="0" w:firstLine="0"/>
        <w:jc w:val="left"/>
        <w:rPr>
          <w:rFonts w:ascii="Calibri"/>
          <w:sz w:val="22"/>
        </w:rPr>
      </w:pPr>
      <w:hyperlink w:history="true" w:anchor="_bookmark73">
        <w:r>
          <w:rPr>
            <w:sz w:val="22"/>
          </w:rPr>
          <w:t>Access to</w:t>
        </w:r>
        <w:r>
          <w:rPr>
            <w:spacing w:val="-4"/>
            <w:sz w:val="22"/>
          </w:rPr>
          <w:t> </w:t>
        </w:r>
        <w:r>
          <w:rPr>
            <w:sz w:val="22"/>
          </w:rPr>
          <w:t>Source</w:t>
        </w:r>
        <w:r>
          <w:rPr>
            <w:spacing w:val="-2"/>
            <w:sz w:val="22"/>
          </w:rPr>
          <w:t> </w:t>
        </w:r>
        <w:r>
          <w:rPr>
            <w:sz w:val="22"/>
          </w:rPr>
          <w:t>Data</w:t>
          <w:tab/>
        </w:r>
        <w:r>
          <w:rPr>
            <w:rFonts w:ascii="Calibri"/>
            <w:sz w:val="22"/>
          </w:rPr>
          <w:t>79</w:t>
        </w:r>
      </w:hyperlink>
    </w:p>
    <w:p>
      <w:pPr>
        <w:tabs>
          <w:tab w:pos="9237" w:val="right" w:leader="dot"/>
        </w:tabs>
        <w:spacing w:before="122"/>
        <w:ind w:left="101" w:right="0" w:firstLine="0"/>
        <w:jc w:val="left"/>
        <w:rPr>
          <w:rFonts w:ascii="Calibri"/>
          <w:b/>
          <w:sz w:val="22"/>
        </w:rPr>
      </w:pPr>
      <w:hyperlink w:history="true" w:anchor="_bookmark74">
        <w:r>
          <w:rPr>
            <w:b/>
            <w:sz w:val="22"/>
          </w:rPr>
          <w:t>References</w:t>
        </w:r>
        <w:r>
          <w:rPr>
            <w:b/>
            <w:spacing w:val="-2"/>
            <w:sz w:val="22"/>
          </w:rPr>
          <w:t> </w:t>
        </w:r>
        <w:r>
          <w:rPr>
            <w:b/>
            <w:sz w:val="22"/>
          </w:rPr>
          <w:t>Cited</w:t>
          <w:tab/>
        </w:r>
        <w:r>
          <w:rPr>
            <w:rFonts w:ascii="Calibri"/>
            <w:b/>
            <w:sz w:val="22"/>
          </w:rPr>
          <w:t>80</w:t>
        </w:r>
      </w:hyperlink>
    </w:p>
    <w:p>
      <w:pPr>
        <w:tabs>
          <w:tab w:pos="9237" w:val="right" w:leader="dot"/>
        </w:tabs>
        <w:spacing w:before="118"/>
        <w:ind w:left="101" w:right="0" w:firstLine="0"/>
        <w:jc w:val="left"/>
        <w:rPr>
          <w:rFonts w:ascii="Calibri"/>
          <w:b/>
          <w:sz w:val="22"/>
        </w:rPr>
      </w:pPr>
      <w:hyperlink w:history="true" w:anchor="_bookmark75">
        <w:r>
          <w:rPr>
            <w:b/>
            <w:sz w:val="22"/>
          </w:rPr>
          <w:t>Addendum</w:t>
        </w:r>
        <w:r>
          <w:rPr>
            <w:b/>
            <w:spacing w:val="5"/>
            <w:sz w:val="22"/>
          </w:rPr>
          <w:t> </w:t>
        </w:r>
        <w:r>
          <w:rPr>
            <w:b/>
            <w:sz w:val="22"/>
          </w:rPr>
          <w:t>A</w:t>
          <w:tab/>
        </w:r>
        <w:r>
          <w:rPr>
            <w:rFonts w:ascii="Calibri"/>
            <w:b/>
            <w:sz w:val="22"/>
          </w:rPr>
          <w:t>84</w:t>
        </w:r>
      </w:hyperlink>
    </w:p>
    <w:p>
      <w:pPr>
        <w:tabs>
          <w:tab w:pos="9237" w:val="right" w:leader="dot"/>
        </w:tabs>
        <w:spacing w:before="120"/>
        <w:ind w:left="319" w:right="0" w:firstLine="0"/>
        <w:jc w:val="left"/>
        <w:rPr>
          <w:rFonts w:ascii="Calibri"/>
          <w:sz w:val="22"/>
        </w:rPr>
      </w:pPr>
      <w:hyperlink w:history="true" w:anchor="_bookmark76">
        <w:r>
          <w:rPr>
            <w:sz w:val="22"/>
          </w:rPr>
          <w:t>Listing of Charters with Net Losses over $100,000 with</w:t>
        </w:r>
        <w:r>
          <w:rPr>
            <w:spacing w:val="-14"/>
            <w:sz w:val="22"/>
          </w:rPr>
          <w:t> </w:t>
        </w:r>
        <w:r>
          <w:rPr>
            <w:sz w:val="22"/>
          </w:rPr>
          <w:t>Inconsistent</w:t>
        </w:r>
        <w:r>
          <w:rPr>
            <w:spacing w:val="-2"/>
            <w:sz w:val="22"/>
          </w:rPr>
          <w:t> </w:t>
        </w:r>
        <w:r>
          <w:rPr>
            <w:sz w:val="22"/>
          </w:rPr>
          <w:t>Financials</w:t>
          <w:tab/>
        </w:r>
        <w:r>
          <w:rPr>
            <w:rFonts w:ascii="Calibri"/>
            <w:sz w:val="22"/>
          </w:rPr>
          <w:t>84</w:t>
        </w:r>
      </w:hyperlink>
    </w:p>
    <w:p>
      <w:pPr>
        <w:tabs>
          <w:tab w:pos="9237" w:val="right" w:leader="dot"/>
        </w:tabs>
        <w:spacing w:before="122"/>
        <w:ind w:left="101" w:right="0" w:firstLine="0"/>
        <w:jc w:val="left"/>
        <w:rPr>
          <w:rFonts w:ascii="Calibri"/>
          <w:b/>
          <w:sz w:val="22"/>
        </w:rPr>
      </w:pPr>
      <w:hyperlink w:history="true" w:anchor="_bookmark77">
        <w:r>
          <w:rPr>
            <w:b/>
            <w:sz w:val="22"/>
          </w:rPr>
          <w:t>Addendum B</w:t>
          <w:tab/>
        </w:r>
        <w:r>
          <w:rPr>
            <w:rFonts w:ascii="Calibri"/>
            <w:b/>
            <w:sz w:val="22"/>
          </w:rPr>
          <w:t>87</w:t>
        </w:r>
      </w:hyperlink>
    </w:p>
    <w:p>
      <w:pPr>
        <w:tabs>
          <w:tab w:pos="9237" w:val="right" w:leader="dot"/>
        </w:tabs>
        <w:spacing w:before="120"/>
        <w:ind w:left="319" w:right="0" w:firstLine="0"/>
        <w:jc w:val="left"/>
        <w:rPr>
          <w:rFonts w:ascii="Calibri"/>
          <w:sz w:val="22"/>
        </w:rPr>
      </w:pPr>
      <w:hyperlink w:history="true" w:anchor="_bookmark78">
        <w:r>
          <w:rPr>
            <w:sz w:val="22"/>
          </w:rPr>
          <w:t>Criteria on Dealings with</w:t>
        </w:r>
        <w:r>
          <w:rPr>
            <w:spacing w:val="-7"/>
            <w:sz w:val="22"/>
          </w:rPr>
          <w:t> </w:t>
        </w:r>
        <w:r>
          <w:rPr>
            <w:sz w:val="22"/>
          </w:rPr>
          <w:t>Related Parties</w:t>
          <w:tab/>
        </w:r>
        <w:r>
          <w:rPr>
            <w:rFonts w:ascii="Calibri"/>
            <w:sz w:val="22"/>
          </w:rPr>
          <w:t>87</w:t>
        </w:r>
      </w:hyperlink>
    </w:p>
    <w:p>
      <w:pPr>
        <w:spacing w:after="0"/>
        <w:jc w:val="left"/>
        <w:rPr>
          <w:rFonts w:ascii="Calibri"/>
          <w:sz w:val="22"/>
        </w:rPr>
        <w:sectPr>
          <w:pgSz w:w="12240" w:h="15840"/>
          <w:pgMar w:header="740" w:footer="1002" w:top="940" w:bottom="1200" w:left="1560" w:right="1340"/>
        </w:sectPr>
      </w:pPr>
    </w:p>
    <w:p>
      <w:pPr>
        <w:pStyle w:val="BodyText"/>
        <w:spacing w:before="5"/>
        <w:rPr>
          <w:rFonts w:ascii="Calibri"/>
          <w:sz w:val="39"/>
        </w:rPr>
      </w:pPr>
    </w:p>
    <w:p>
      <w:pPr>
        <w:pStyle w:val="Heading1"/>
        <w:spacing w:before="1"/>
        <w:ind w:left="320"/>
        <w:jc w:val="both"/>
      </w:pPr>
      <w:bookmarkStart w:name="_bookmark1" w:id="2"/>
      <w:bookmarkEnd w:id="2"/>
      <w:r>
        <w:rPr/>
      </w:r>
      <w:r>
        <w:rPr>
          <w:color w:val="365F91"/>
        </w:rPr>
        <w:t>Executive Summary</w:t>
      </w:r>
    </w:p>
    <w:p>
      <w:pPr>
        <w:pStyle w:val="BodyText"/>
        <w:spacing w:line="276" w:lineRule="auto" w:before="41"/>
        <w:ind w:left="320" w:right="329"/>
        <w:jc w:val="both"/>
      </w:pPr>
      <w:r>
        <w:rPr/>
        <w:t>While school choice and free market economic theory have driven the Arizona charter school movement, many in the drivers' seat have found opportunities to benefit themselves through financial transactions that are specifically forbidden in public district schools.</w:t>
      </w:r>
      <w:r>
        <w:rPr>
          <w:spacing w:val="-12"/>
        </w:rPr>
        <w:t> </w:t>
      </w:r>
      <w:r>
        <w:rPr/>
        <w:t>Charter</w:t>
      </w:r>
      <w:r>
        <w:rPr>
          <w:spacing w:val="-10"/>
        </w:rPr>
        <w:t> </w:t>
      </w:r>
      <w:r>
        <w:rPr/>
        <w:t>schools</w:t>
      </w:r>
      <w:r>
        <w:rPr>
          <w:spacing w:val="-10"/>
        </w:rPr>
        <w:t> </w:t>
      </w:r>
      <w:r>
        <w:rPr/>
        <w:t>were</w:t>
      </w:r>
      <w:r>
        <w:rPr>
          <w:spacing w:val="-9"/>
        </w:rPr>
        <w:t> </w:t>
      </w:r>
      <w:r>
        <w:rPr/>
        <w:t>promoted</w:t>
      </w:r>
      <w:r>
        <w:rPr>
          <w:spacing w:val="-11"/>
        </w:rPr>
        <w:t> </w:t>
      </w:r>
      <w:r>
        <w:rPr/>
        <w:t>as</w:t>
      </w:r>
      <w:r>
        <w:rPr>
          <w:spacing w:val="-9"/>
        </w:rPr>
        <w:t> </w:t>
      </w:r>
      <w:r>
        <w:rPr/>
        <w:t>competition</w:t>
      </w:r>
      <w:r>
        <w:rPr>
          <w:spacing w:val="-11"/>
        </w:rPr>
        <w:t> </w:t>
      </w:r>
      <w:r>
        <w:rPr/>
        <w:t>to</w:t>
      </w:r>
      <w:r>
        <w:rPr>
          <w:spacing w:val="-10"/>
        </w:rPr>
        <w:t> </w:t>
      </w:r>
      <w:r>
        <w:rPr/>
        <w:t>the</w:t>
      </w:r>
      <w:r>
        <w:rPr>
          <w:spacing w:val="-11"/>
        </w:rPr>
        <w:t> </w:t>
      </w:r>
      <w:r>
        <w:rPr/>
        <w:t>public</w:t>
      </w:r>
      <w:r>
        <w:rPr>
          <w:spacing w:val="-12"/>
        </w:rPr>
        <w:t> </w:t>
      </w:r>
      <w:r>
        <w:rPr/>
        <w:t>school</w:t>
      </w:r>
      <w:r>
        <w:rPr>
          <w:spacing w:val="-10"/>
        </w:rPr>
        <w:t> </w:t>
      </w:r>
      <w:r>
        <w:rPr/>
        <w:t>system.</w:t>
      </w:r>
      <w:r>
        <w:rPr>
          <w:spacing w:val="45"/>
        </w:rPr>
        <w:t> </w:t>
      </w:r>
      <w:r>
        <w:rPr/>
        <w:t>The “rule books” regarding financial controls and governance were replaced by laws that eliminated most oversight. Fundamentally, charter schools do not offer parents and their children true school choice when they operate without the financial accountability and transparency demanded of 'competing' public district</w:t>
      </w:r>
      <w:r>
        <w:rPr>
          <w:spacing w:val="-20"/>
        </w:rPr>
        <w:t> </w:t>
      </w:r>
      <w:r>
        <w:rPr/>
        <w:t>schools.</w:t>
      </w:r>
    </w:p>
    <w:p>
      <w:pPr>
        <w:pStyle w:val="BodyText"/>
        <w:spacing w:line="276" w:lineRule="auto" w:before="202"/>
        <w:ind w:left="320" w:right="335"/>
        <w:jc w:val="both"/>
      </w:pPr>
      <w:r>
        <w:rPr/>
        <w:t>Charter</w:t>
      </w:r>
      <w:r>
        <w:rPr>
          <w:spacing w:val="-6"/>
        </w:rPr>
        <w:t> </w:t>
      </w:r>
      <w:r>
        <w:rPr/>
        <w:t>holders</w:t>
      </w:r>
      <w:r>
        <w:rPr>
          <w:spacing w:val="-6"/>
        </w:rPr>
        <w:t> </w:t>
      </w:r>
      <w:r>
        <w:rPr/>
        <w:t>receive</w:t>
      </w:r>
      <w:r>
        <w:rPr>
          <w:spacing w:val="-5"/>
        </w:rPr>
        <w:t> </w:t>
      </w:r>
      <w:r>
        <w:rPr/>
        <w:t>almost</w:t>
      </w:r>
      <w:r>
        <w:rPr>
          <w:spacing w:val="-7"/>
        </w:rPr>
        <w:t> </w:t>
      </w:r>
      <w:r>
        <w:rPr/>
        <w:t>all</w:t>
      </w:r>
      <w:r>
        <w:rPr>
          <w:spacing w:val="-6"/>
        </w:rPr>
        <w:t> </w:t>
      </w:r>
      <w:r>
        <w:rPr/>
        <w:t>their</w:t>
      </w:r>
      <w:r>
        <w:rPr>
          <w:spacing w:val="-9"/>
        </w:rPr>
        <w:t> </w:t>
      </w:r>
      <w:r>
        <w:rPr/>
        <w:t>funding</w:t>
      </w:r>
      <w:r>
        <w:rPr>
          <w:spacing w:val="-7"/>
        </w:rPr>
        <w:t> </w:t>
      </w:r>
      <w:r>
        <w:rPr/>
        <w:t>directly</w:t>
      </w:r>
      <w:r>
        <w:rPr>
          <w:spacing w:val="-8"/>
        </w:rPr>
        <w:t> </w:t>
      </w:r>
      <w:r>
        <w:rPr/>
        <w:t>from</w:t>
      </w:r>
      <w:r>
        <w:rPr>
          <w:spacing w:val="-6"/>
        </w:rPr>
        <w:t> </w:t>
      </w:r>
      <w:r>
        <w:rPr/>
        <w:t>the</w:t>
      </w:r>
      <w:r>
        <w:rPr>
          <w:spacing w:val="-7"/>
        </w:rPr>
        <w:t> </w:t>
      </w:r>
      <w:r>
        <w:rPr/>
        <w:t>State’s</w:t>
      </w:r>
      <w:r>
        <w:rPr>
          <w:spacing w:val="-6"/>
        </w:rPr>
        <w:t> </w:t>
      </w:r>
      <w:r>
        <w:rPr/>
        <w:t>General</w:t>
      </w:r>
      <w:r>
        <w:rPr>
          <w:spacing w:val="-6"/>
        </w:rPr>
        <w:t> </w:t>
      </w:r>
      <w:r>
        <w:rPr/>
        <w:t>Fund</w:t>
      </w:r>
      <w:r>
        <w:rPr>
          <w:spacing w:val="-7"/>
        </w:rPr>
        <w:t> </w:t>
      </w:r>
      <w:r>
        <w:rPr/>
        <w:t>on a per student basis. In FY2016 charter schools received $6,669 per student from the State’s General Fund, representing about 85% of their funding. Almost all of the rest comes from the Prop. 301 education six-tenths of a cent sales tax and the Federal Government</w:t>
      </w:r>
      <w:r>
        <w:rPr>
          <w:spacing w:val="-18"/>
        </w:rPr>
        <w:t> </w:t>
      </w:r>
      <w:r>
        <w:rPr/>
        <w:t>(Joint</w:t>
      </w:r>
      <w:r>
        <w:rPr>
          <w:spacing w:val="-18"/>
        </w:rPr>
        <w:t> </w:t>
      </w:r>
      <w:r>
        <w:rPr/>
        <w:t>Legislative</w:t>
      </w:r>
      <w:r>
        <w:rPr>
          <w:spacing w:val="-18"/>
        </w:rPr>
        <w:t> </w:t>
      </w:r>
      <w:r>
        <w:rPr/>
        <w:t>Budget</w:t>
      </w:r>
      <w:r>
        <w:rPr>
          <w:spacing w:val="-18"/>
        </w:rPr>
        <w:t> </w:t>
      </w:r>
      <w:r>
        <w:rPr/>
        <w:t>Committee</w:t>
      </w:r>
      <w:r>
        <w:rPr>
          <w:spacing w:val="-20"/>
        </w:rPr>
        <w:t> </w:t>
      </w:r>
      <w:r>
        <w:rPr/>
        <w:t>2017,</w:t>
      </w:r>
      <w:r>
        <w:rPr>
          <w:spacing w:val="-20"/>
        </w:rPr>
        <w:t> </w:t>
      </w:r>
      <w:r>
        <w:rPr/>
        <w:t>Arizona</w:t>
      </w:r>
      <w:r>
        <w:rPr>
          <w:spacing w:val="-18"/>
        </w:rPr>
        <w:t> </w:t>
      </w:r>
      <w:r>
        <w:rPr/>
        <w:t>Department</w:t>
      </w:r>
      <w:r>
        <w:rPr>
          <w:spacing w:val="-20"/>
        </w:rPr>
        <w:t> </w:t>
      </w:r>
      <w:r>
        <w:rPr/>
        <w:t>of</w:t>
      </w:r>
      <w:r>
        <w:rPr>
          <w:spacing w:val="-18"/>
        </w:rPr>
        <w:t> </w:t>
      </w:r>
      <w:r>
        <w:rPr/>
        <w:t>Education 2016).</w:t>
      </w:r>
    </w:p>
    <w:p>
      <w:pPr>
        <w:pStyle w:val="BodyText"/>
        <w:spacing w:line="276" w:lineRule="auto" w:before="204"/>
        <w:ind w:left="320" w:right="327"/>
        <w:jc w:val="both"/>
      </w:pPr>
      <w:r>
        <w:rPr/>
        <w:t>This extensively researched policy report, the first in a series of three reports, highlights some</w:t>
      </w:r>
      <w:r>
        <w:rPr>
          <w:spacing w:val="-18"/>
        </w:rPr>
        <w:t> </w:t>
      </w:r>
      <w:r>
        <w:rPr/>
        <w:t>of</w:t>
      </w:r>
      <w:r>
        <w:rPr>
          <w:spacing w:val="-15"/>
        </w:rPr>
        <w:t> </w:t>
      </w:r>
      <w:r>
        <w:rPr/>
        <w:t>the</w:t>
      </w:r>
      <w:r>
        <w:rPr>
          <w:spacing w:val="-18"/>
        </w:rPr>
        <w:t> </w:t>
      </w:r>
      <w:r>
        <w:rPr/>
        <w:t>differences</w:t>
      </w:r>
      <w:r>
        <w:rPr>
          <w:spacing w:val="-19"/>
        </w:rPr>
        <w:t> </w:t>
      </w:r>
      <w:r>
        <w:rPr/>
        <w:t>in</w:t>
      </w:r>
      <w:r>
        <w:rPr>
          <w:spacing w:val="-16"/>
        </w:rPr>
        <w:t> </w:t>
      </w:r>
      <w:r>
        <w:rPr/>
        <w:t>the</w:t>
      </w:r>
      <w:r>
        <w:rPr>
          <w:spacing w:val="-16"/>
        </w:rPr>
        <w:t> </w:t>
      </w:r>
      <w:r>
        <w:rPr/>
        <w:t>rules</w:t>
      </w:r>
      <w:r>
        <w:rPr>
          <w:spacing w:val="-16"/>
        </w:rPr>
        <w:t> </w:t>
      </w:r>
      <w:r>
        <w:rPr/>
        <w:t>that</w:t>
      </w:r>
      <w:r>
        <w:rPr>
          <w:spacing w:val="-16"/>
        </w:rPr>
        <w:t> </w:t>
      </w:r>
      <w:r>
        <w:rPr/>
        <w:t>govern</w:t>
      </w:r>
      <w:r>
        <w:rPr>
          <w:spacing w:val="-16"/>
        </w:rPr>
        <w:t> </w:t>
      </w:r>
      <w:r>
        <w:rPr/>
        <w:t>public</w:t>
      </w:r>
      <w:r>
        <w:rPr>
          <w:spacing w:val="-16"/>
        </w:rPr>
        <w:t> </w:t>
      </w:r>
      <w:r>
        <w:rPr/>
        <w:t>district</w:t>
      </w:r>
      <w:r>
        <w:rPr>
          <w:spacing w:val="-16"/>
        </w:rPr>
        <w:t> </w:t>
      </w:r>
      <w:r>
        <w:rPr/>
        <w:t>schools</w:t>
      </w:r>
      <w:r>
        <w:rPr>
          <w:spacing w:val="-19"/>
        </w:rPr>
        <w:t> </w:t>
      </w:r>
      <w:r>
        <w:rPr/>
        <w:t>and</w:t>
      </w:r>
      <w:r>
        <w:rPr>
          <w:spacing w:val="-16"/>
        </w:rPr>
        <w:t> </w:t>
      </w:r>
      <w:r>
        <w:rPr/>
        <w:t>charter</w:t>
      </w:r>
      <w:r>
        <w:rPr>
          <w:spacing w:val="-17"/>
        </w:rPr>
        <w:t> </w:t>
      </w:r>
      <w:r>
        <w:rPr/>
        <w:t>schools. Charter schools were given greater freedom over their budgets, staffing, curricula and other operations to foster quality improvements in the education they provide and to encourage</w:t>
      </w:r>
      <w:r>
        <w:rPr>
          <w:spacing w:val="-9"/>
        </w:rPr>
        <w:t> </w:t>
      </w:r>
      <w:r>
        <w:rPr/>
        <w:t>competition.</w:t>
      </w:r>
    </w:p>
    <w:p>
      <w:pPr>
        <w:pStyle w:val="BodyText"/>
        <w:spacing w:line="276" w:lineRule="auto" w:before="199"/>
        <w:ind w:left="320" w:right="329"/>
        <w:jc w:val="both"/>
      </w:pPr>
      <w:r>
        <w:rPr/>
        <w:t>This policy report, and the others in this series, look at the actual business practices that emerged from that greater freedom from regulations, focusing on the following areas: related-party transactions, high executive compensation compared to comparable public sector salaries, questionable distributions of profits/owner’s equity, lower classroom spending, academic underperformance, and inconsistent financials. Related parties</w:t>
      </w:r>
      <w:hyperlink w:history="true" w:anchor="_bookmark2">
        <w:r>
          <w:rPr>
            <w:position w:val="8"/>
            <w:sz w:val="16"/>
          </w:rPr>
          <w:t>1</w:t>
        </w:r>
      </w:hyperlink>
      <w:r>
        <w:rPr/>
        <w:t>, while usually actual relatives of the charter holder, also includes related businesses (businesses with the same board and owners), and former charter holders that still engage in business with the charter group.</w:t>
      </w:r>
    </w:p>
    <w:p>
      <w:pPr>
        <w:pStyle w:val="BodyText"/>
        <w:spacing w:line="276" w:lineRule="auto" w:before="199"/>
        <w:ind w:left="320" w:right="333"/>
        <w:jc w:val="both"/>
      </w:pPr>
      <w:r>
        <w:rPr/>
        <w:t>Current</w:t>
      </w:r>
      <w:r>
        <w:rPr>
          <w:spacing w:val="-13"/>
        </w:rPr>
        <w:t> </w:t>
      </w:r>
      <w:r>
        <w:rPr/>
        <w:t>financial</w:t>
      </w:r>
      <w:r>
        <w:rPr>
          <w:spacing w:val="-12"/>
        </w:rPr>
        <w:t> </w:t>
      </w:r>
      <w:r>
        <w:rPr/>
        <w:t>practices</w:t>
      </w:r>
      <w:r>
        <w:rPr>
          <w:spacing w:val="-12"/>
        </w:rPr>
        <w:t> </w:t>
      </w:r>
      <w:r>
        <w:rPr/>
        <w:t>by</w:t>
      </w:r>
      <w:r>
        <w:rPr>
          <w:spacing w:val="-14"/>
        </w:rPr>
        <w:t> </w:t>
      </w:r>
      <w:r>
        <w:rPr/>
        <w:t>most</w:t>
      </w:r>
      <w:r>
        <w:rPr>
          <w:spacing w:val="-11"/>
        </w:rPr>
        <w:t> </w:t>
      </w:r>
      <w:r>
        <w:rPr/>
        <w:t>charters</w:t>
      </w:r>
      <w:r>
        <w:rPr>
          <w:spacing w:val="-15"/>
        </w:rPr>
        <w:t> </w:t>
      </w:r>
      <w:r>
        <w:rPr/>
        <w:t>fall</w:t>
      </w:r>
      <w:r>
        <w:rPr>
          <w:spacing w:val="-13"/>
        </w:rPr>
        <w:t> </w:t>
      </w:r>
      <w:r>
        <w:rPr/>
        <w:t>short</w:t>
      </w:r>
      <w:r>
        <w:rPr>
          <w:spacing w:val="-12"/>
        </w:rPr>
        <w:t> </w:t>
      </w:r>
      <w:r>
        <w:rPr/>
        <w:t>of</w:t>
      </w:r>
      <w:r>
        <w:rPr>
          <w:spacing w:val="-9"/>
        </w:rPr>
        <w:t> </w:t>
      </w:r>
      <w:r>
        <w:rPr/>
        <w:t>sound</w:t>
      </w:r>
      <w:r>
        <w:rPr>
          <w:spacing w:val="-13"/>
        </w:rPr>
        <w:t> </w:t>
      </w:r>
      <w:r>
        <w:rPr/>
        <w:t>business</w:t>
      </w:r>
      <w:r>
        <w:rPr>
          <w:spacing w:val="-12"/>
        </w:rPr>
        <w:t> </w:t>
      </w:r>
      <w:r>
        <w:rPr/>
        <w:t>practices</w:t>
      </w:r>
      <w:r>
        <w:rPr>
          <w:spacing w:val="-11"/>
        </w:rPr>
        <w:t> </w:t>
      </w:r>
      <w:r>
        <w:rPr/>
        <w:t>and</w:t>
      </w:r>
      <w:r>
        <w:rPr>
          <w:spacing w:val="-11"/>
        </w:rPr>
        <w:t> </w:t>
      </w:r>
      <w:r>
        <w:rPr/>
        <w:t>the public’s</w:t>
      </w:r>
      <w:r>
        <w:rPr>
          <w:spacing w:val="-9"/>
        </w:rPr>
        <w:t> </w:t>
      </w:r>
      <w:r>
        <w:rPr/>
        <w:t>expectations</w:t>
      </w:r>
      <w:r>
        <w:rPr>
          <w:spacing w:val="-9"/>
        </w:rPr>
        <w:t> </w:t>
      </w:r>
      <w:r>
        <w:rPr/>
        <w:t>as</w:t>
      </w:r>
      <w:r>
        <w:rPr>
          <w:spacing w:val="-9"/>
        </w:rPr>
        <w:t> </w:t>
      </w:r>
      <w:r>
        <w:rPr/>
        <w:t>to</w:t>
      </w:r>
      <w:r>
        <w:rPr>
          <w:spacing w:val="-10"/>
        </w:rPr>
        <w:t> </w:t>
      </w:r>
      <w:r>
        <w:rPr/>
        <w:t>how</w:t>
      </w:r>
      <w:r>
        <w:rPr>
          <w:spacing w:val="-12"/>
        </w:rPr>
        <w:t> </w:t>
      </w:r>
      <w:r>
        <w:rPr/>
        <w:t>their</w:t>
      </w:r>
      <w:r>
        <w:rPr>
          <w:spacing w:val="-10"/>
        </w:rPr>
        <w:t> </w:t>
      </w:r>
      <w:r>
        <w:rPr/>
        <w:t>educational</w:t>
      </w:r>
      <w:r>
        <w:rPr>
          <w:spacing w:val="-9"/>
        </w:rPr>
        <w:t> </w:t>
      </w:r>
      <w:r>
        <w:rPr/>
        <w:t>dollars</w:t>
      </w:r>
      <w:r>
        <w:rPr>
          <w:spacing w:val="-10"/>
        </w:rPr>
        <w:t> </w:t>
      </w:r>
      <w:r>
        <w:rPr/>
        <w:t>should</w:t>
      </w:r>
      <w:r>
        <w:rPr>
          <w:spacing w:val="-11"/>
        </w:rPr>
        <w:t> </w:t>
      </w:r>
      <w:r>
        <w:rPr/>
        <w:t>be</w:t>
      </w:r>
      <w:r>
        <w:rPr>
          <w:spacing w:val="-8"/>
        </w:rPr>
        <w:t> </w:t>
      </w:r>
      <w:r>
        <w:rPr/>
        <w:t>spent</w:t>
      </w:r>
      <w:r>
        <w:rPr>
          <w:spacing w:val="-11"/>
        </w:rPr>
        <w:t> </w:t>
      </w:r>
      <w:r>
        <w:rPr/>
        <w:t>(Bennis,</w:t>
      </w:r>
      <w:r>
        <w:rPr>
          <w:spacing w:val="-11"/>
        </w:rPr>
        <w:t> </w:t>
      </w:r>
      <w:r>
        <w:rPr/>
        <w:t>Parikh, and Lessem 1994, Dewey 1891, Knight and Friedman 1935, Pojman, Vaughn, and Vaughn</w:t>
      </w:r>
      <w:r>
        <w:rPr>
          <w:spacing w:val="-7"/>
        </w:rPr>
        <w:t> </w:t>
      </w:r>
      <w:r>
        <w:rPr/>
        <w:t>2014).</w:t>
      </w:r>
    </w:p>
    <w:p>
      <w:pPr>
        <w:pStyle w:val="BodyText"/>
        <w:rPr>
          <w:sz w:val="20"/>
        </w:rPr>
      </w:pPr>
    </w:p>
    <w:p>
      <w:pPr>
        <w:pStyle w:val="BodyText"/>
        <w:spacing w:before="1"/>
      </w:pPr>
      <w:r>
        <w:rPr/>
        <w:pict>
          <v:line style="position:absolute;mso-position-horizontal-relative:page;mso-position-vertical-relative:paragraph;z-index:1048;mso-wrap-distance-left:0;mso-wrap-distance-right:0" from="72pt,16.19021pt" to="216pt,16.19021pt" stroked="true" strokeweight=".72pt" strokecolor="#000000">
            <v:stroke dashstyle="solid"/>
            <w10:wrap type="topAndBottom"/>
          </v:line>
        </w:pict>
      </w:r>
    </w:p>
    <w:p>
      <w:pPr>
        <w:spacing w:before="49"/>
        <w:ind w:left="108" w:right="98" w:firstLine="0"/>
        <w:jc w:val="both"/>
        <w:rPr>
          <w:rFonts w:ascii="Corbel"/>
          <w:sz w:val="20"/>
        </w:rPr>
      </w:pPr>
      <w:bookmarkStart w:name="_bookmark2" w:id="3"/>
      <w:bookmarkEnd w:id="3"/>
      <w:r>
        <w:rPr/>
      </w:r>
      <w:r>
        <w:rPr>
          <w:rFonts w:ascii="Corbel"/>
          <w:position w:val="7"/>
          <w:sz w:val="13"/>
        </w:rPr>
        <w:t>1 </w:t>
      </w:r>
      <w:r>
        <w:rPr>
          <w:rFonts w:ascii="Corbel"/>
          <w:sz w:val="20"/>
        </w:rPr>
        <w:t>Family members such as brothers, sisters, spouses, ancestors and lineal descendants. The charter holder names listed were researched to discern whether the listed charter holders were related. I.e. cases where the husband and wife had different</w:t>
      </w:r>
      <w:r>
        <w:rPr>
          <w:rFonts w:ascii="Corbel"/>
          <w:spacing w:val="-10"/>
          <w:sz w:val="20"/>
        </w:rPr>
        <w:t> </w:t>
      </w:r>
      <w:r>
        <w:rPr>
          <w:rFonts w:ascii="Corbel"/>
          <w:sz w:val="20"/>
        </w:rPr>
        <w:t>last</w:t>
      </w:r>
      <w:r>
        <w:rPr>
          <w:rFonts w:ascii="Corbel"/>
          <w:spacing w:val="-10"/>
          <w:sz w:val="20"/>
        </w:rPr>
        <w:t> </w:t>
      </w:r>
      <w:r>
        <w:rPr>
          <w:rFonts w:ascii="Corbel"/>
          <w:sz w:val="20"/>
        </w:rPr>
        <w:t>names.</w:t>
      </w:r>
      <w:r>
        <w:rPr>
          <w:rFonts w:ascii="Corbel"/>
          <w:spacing w:val="-10"/>
          <w:sz w:val="20"/>
        </w:rPr>
        <w:t> </w:t>
      </w:r>
      <w:r>
        <w:rPr>
          <w:rFonts w:ascii="Corbel"/>
          <w:sz w:val="20"/>
        </w:rPr>
        <w:t>(Step-parents,</w:t>
      </w:r>
      <w:r>
        <w:rPr>
          <w:rFonts w:ascii="Corbel"/>
          <w:spacing w:val="-10"/>
          <w:sz w:val="20"/>
        </w:rPr>
        <w:t> </w:t>
      </w:r>
      <w:r>
        <w:rPr>
          <w:rFonts w:ascii="Corbel"/>
          <w:sz w:val="20"/>
        </w:rPr>
        <w:t>uncles,</w:t>
      </w:r>
      <w:r>
        <w:rPr>
          <w:rFonts w:ascii="Corbel"/>
          <w:spacing w:val="-8"/>
          <w:sz w:val="20"/>
        </w:rPr>
        <w:t> </w:t>
      </w:r>
      <w:r>
        <w:rPr>
          <w:rFonts w:ascii="Corbel"/>
          <w:sz w:val="20"/>
        </w:rPr>
        <w:t>in-laws,</w:t>
      </w:r>
      <w:r>
        <w:rPr>
          <w:rFonts w:ascii="Corbel"/>
          <w:spacing w:val="-10"/>
          <w:sz w:val="20"/>
        </w:rPr>
        <w:t> </w:t>
      </w:r>
      <w:r>
        <w:rPr>
          <w:rFonts w:ascii="Corbel"/>
          <w:sz w:val="20"/>
        </w:rPr>
        <w:t>cousins,</w:t>
      </w:r>
      <w:r>
        <w:rPr>
          <w:rFonts w:ascii="Corbel"/>
          <w:spacing w:val="-10"/>
          <w:sz w:val="20"/>
        </w:rPr>
        <w:t> </w:t>
      </w:r>
      <w:r>
        <w:rPr>
          <w:rFonts w:ascii="Corbel"/>
          <w:sz w:val="20"/>
        </w:rPr>
        <w:t>nephews</w:t>
      </w:r>
      <w:r>
        <w:rPr>
          <w:rFonts w:ascii="Corbel"/>
          <w:spacing w:val="-10"/>
          <w:sz w:val="20"/>
        </w:rPr>
        <w:t> </w:t>
      </w:r>
      <w:r>
        <w:rPr>
          <w:rFonts w:ascii="Corbel"/>
          <w:sz w:val="20"/>
        </w:rPr>
        <w:t>and</w:t>
      </w:r>
      <w:r>
        <w:rPr>
          <w:rFonts w:ascii="Corbel"/>
          <w:spacing w:val="-10"/>
          <w:sz w:val="20"/>
        </w:rPr>
        <w:t> </w:t>
      </w:r>
      <w:r>
        <w:rPr>
          <w:rFonts w:ascii="Corbel"/>
          <w:sz w:val="20"/>
        </w:rPr>
        <w:t>ex-spouses</w:t>
      </w:r>
      <w:r>
        <w:rPr>
          <w:rFonts w:ascii="Corbel"/>
          <w:spacing w:val="-10"/>
          <w:sz w:val="20"/>
        </w:rPr>
        <w:t> </w:t>
      </w:r>
      <w:r>
        <w:rPr>
          <w:rFonts w:ascii="Corbel"/>
          <w:sz w:val="20"/>
        </w:rPr>
        <w:t>are</w:t>
      </w:r>
      <w:r>
        <w:rPr>
          <w:rFonts w:ascii="Corbel"/>
          <w:spacing w:val="-9"/>
          <w:sz w:val="20"/>
        </w:rPr>
        <w:t> </w:t>
      </w:r>
      <w:r>
        <w:rPr>
          <w:rFonts w:ascii="Corbel"/>
          <w:sz w:val="20"/>
        </w:rPr>
        <w:t>not</w:t>
      </w:r>
      <w:r>
        <w:rPr>
          <w:rFonts w:ascii="Corbel"/>
          <w:spacing w:val="-10"/>
          <w:sz w:val="20"/>
        </w:rPr>
        <w:t> </w:t>
      </w:r>
      <w:r>
        <w:rPr>
          <w:rFonts w:ascii="Corbel"/>
          <w:sz w:val="20"/>
        </w:rPr>
        <w:t>considered</w:t>
      </w:r>
      <w:r>
        <w:rPr>
          <w:rFonts w:ascii="Corbel"/>
          <w:spacing w:val="-10"/>
          <w:sz w:val="20"/>
        </w:rPr>
        <w:t> </w:t>
      </w:r>
      <w:r>
        <w:rPr>
          <w:rFonts w:ascii="Corbel"/>
          <w:sz w:val="20"/>
        </w:rPr>
        <w:t>related</w:t>
      </w:r>
      <w:r>
        <w:rPr>
          <w:rFonts w:ascii="Corbel"/>
          <w:spacing w:val="-10"/>
          <w:sz w:val="20"/>
        </w:rPr>
        <w:t> </w:t>
      </w:r>
      <w:r>
        <w:rPr>
          <w:rFonts w:ascii="Corbel"/>
          <w:sz w:val="20"/>
        </w:rPr>
        <w:t>in</w:t>
      </w:r>
      <w:r>
        <w:rPr>
          <w:rFonts w:ascii="Corbel"/>
          <w:spacing w:val="-10"/>
          <w:sz w:val="20"/>
        </w:rPr>
        <w:t> </w:t>
      </w:r>
      <w:r>
        <w:rPr>
          <w:rFonts w:ascii="Corbel"/>
          <w:sz w:val="20"/>
        </w:rPr>
        <w:t>these reports.) A related party corporation or partnership is one where more than 50% of the stock or more than 50% of the capital interest is owned by the taxpayer who owns the corporation or partnership. In all of the charters reviewed the charter</w:t>
      </w:r>
      <w:r>
        <w:rPr>
          <w:rFonts w:ascii="Corbel"/>
          <w:spacing w:val="-4"/>
          <w:sz w:val="20"/>
        </w:rPr>
        <w:t> </w:t>
      </w:r>
      <w:r>
        <w:rPr>
          <w:rFonts w:ascii="Corbel"/>
          <w:sz w:val="20"/>
        </w:rPr>
        <w:t>holder</w:t>
      </w:r>
      <w:r>
        <w:rPr>
          <w:rFonts w:ascii="Corbel"/>
          <w:spacing w:val="-3"/>
          <w:sz w:val="20"/>
        </w:rPr>
        <w:t> </w:t>
      </w:r>
      <w:r>
        <w:rPr>
          <w:rFonts w:ascii="Corbel"/>
          <w:sz w:val="20"/>
        </w:rPr>
        <w:t>held</w:t>
      </w:r>
      <w:r>
        <w:rPr>
          <w:rFonts w:ascii="Corbel"/>
          <w:spacing w:val="-5"/>
          <w:sz w:val="20"/>
        </w:rPr>
        <w:t> </w:t>
      </w:r>
      <w:r>
        <w:rPr>
          <w:rFonts w:ascii="Corbel"/>
          <w:sz w:val="20"/>
        </w:rPr>
        <w:t>100%</w:t>
      </w:r>
      <w:r>
        <w:rPr>
          <w:rFonts w:ascii="Corbel"/>
          <w:spacing w:val="-3"/>
          <w:sz w:val="20"/>
        </w:rPr>
        <w:t> </w:t>
      </w:r>
      <w:r>
        <w:rPr>
          <w:rFonts w:ascii="Corbel"/>
          <w:sz w:val="20"/>
        </w:rPr>
        <w:t>of</w:t>
      </w:r>
      <w:r>
        <w:rPr>
          <w:rFonts w:ascii="Corbel"/>
          <w:spacing w:val="-5"/>
          <w:sz w:val="20"/>
        </w:rPr>
        <w:t> </w:t>
      </w:r>
      <w:r>
        <w:rPr>
          <w:rFonts w:ascii="Corbel"/>
          <w:sz w:val="20"/>
        </w:rPr>
        <w:t>the</w:t>
      </w:r>
      <w:r>
        <w:rPr>
          <w:rFonts w:ascii="Corbel"/>
          <w:spacing w:val="-5"/>
          <w:sz w:val="20"/>
        </w:rPr>
        <w:t> </w:t>
      </w:r>
      <w:r>
        <w:rPr>
          <w:rFonts w:ascii="Corbel"/>
          <w:sz w:val="20"/>
        </w:rPr>
        <w:t>stock.</w:t>
      </w:r>
      <w:r>
        <w:rPr>
          <w:rFonts w:ascii="Corbel"/>
          <w:spacing w:val="-4"/>
          <w:sz w:val="20"/>
        </w:rPr>
        <w:t> </w:t>
      </w:r>
      <w:r>
        <w:rPr>
          <w:rFonts w:ascii="Corbel"/>
          <w:sz w:val="20"/>
        </w:rPr>
        <w:t>Most</w:t>
      </w:r>
      <w:r>
        <w:rPr>
          <w:rFonts w:ascii="Corbel"/>
          <w:spacing w:val="-4"/>
          <w:sz w:val="20"/>
        </w:rPr>
        <w:t> </w:t>
      </w:r>
      <w:r>
        <w:rPr>
          <w:rFonts w:ascii="Corbel"/>
          <w:sz w:val="20"/>
        </w:rPr>
        <w:t>cases</w:t>
      </w:r>
      <w:r>
        <w:rPr>
          <w:rFonts w:ascii="Corbel"/>
          <w:spacing w:val="-3"/>
          <w:sz w:val="20"/>
        </w:rPr>
        <w:t> </w:t>
      </w:r>
      <w:r>
        <w:rPr>
          <w:rFonts w:ascii="Corbel"/>
          <w:sz w:val="20"/>
        </w:rPr>
        <w:t>noted</w:t>
      </w:r>
      <w:r>
        <w:rPr>
          <w:rFonts w:ascii="Corbel"/>
          <w:spacing w:val="-5"/>
          <w:sz w:val="20"/>
        </w:rPr>
        <w:t> </w:t>
      </w:r>
      <w:r>
        <w:rPr>
          <w:rFonts w:ascii="Corbel"/>
          <w:sz w:val="20"/>
        </w:rPr>
        <w:t>in</w:t>
      </w:r>
      <w:r>
        <w:rPr>
          <w:rFonts w:ascii="Corbel"/>
          <w:spacing w:val="-1"/>
          <w:sz w:val="20"/>
        </w:rPr>
        <w:t> </w:t>
      </w:r>
      <w:r>
        <w:rPr>
          <w:rFonts w:ascii="Corbel"/>
          <w:sz w:val="20"/>
        </w:rPr>
        <w:t>this</w:t>
      </w:r>
      <w:r>
        <w:rPr>
          <w:rFonts w:ascii="Corbel"/>
          <w:spacing w:val="-4"/>
          <w:sz w:val="20"/>
        </w:rPr>
        <w:t> </w:t>
      </w:r>
      <w:r>
        <w:rPr>
          <w:rFonts w:ascii="Corbel"/>
          <w:sz w:val="20"/>
        </w:rPr>
        <w:t>study</w:t>
      </w:r>
      <w:r>
        <w:rPr>
          <w:rFonts w:ascii="Corbel"/>
          <w:spacing w:val="-3"/>
          <w:sz w:val="20"/>
        </w:rPr>
        <w:t> </w:t>
      </w:r>
      <w:r>
        <w:rPr>
          <w:rFonts w:ascii="Corbel"/>
          <w:sz w:val="20"/>
        </w:rPr>
        <w:t>were</w:t>
      </w:r>
      <w:r>
        <w:rPr>
          <w:rFonts w:ascii="Corbel"/>
          <w:spacing w:val="-4"/>
          <w:sz w:val="20"/>
        </w:rPr>
        <w:t> </w:t>
      </w:r>
      <w:r>
        <w:rPr>
          <w:rFonts w:ascii="Corbel"/>
          <w:sz w:val="20"/>
        </w:rPr>
        <w:t>100%</w:t>
      </w:r>
      <w:r>
        <w:rPr>
          <w:rFonts w:ascii="Corbel"/>
          <w:spacing w:val="-3"/>
          <w:sz w:val="20"/>
        </w:rPr>
        <w:t> </w:t>
      </w:r>
      <w:r>
        <w:rPr>
          <w:rFonts w:ascii="Corbel"/>
          <w:sz w:val="20"/>
        </w:rPr>
        <w:t>held</w:t>
      </w:r>
      <w:r>
        <w:rPr>
          <w:rFonts w:ascii="Corbel"/>
          <w:spacing w:val="-3"/>
          <w:sz w:val="20"/>
        </w:rPr>
        <w:t> </w:t>
      </w:r>
      <w:r>
        <w:rPr>
          <w:rFonts w:ascii="Corbel"/>
          <w:sz w:val="20"/>
        </w:rPr>
        <w:t>by</w:t>
      </w:r>
      <w:r>
        <w:rPr>
          <w:rFonts w:ascii="Corbel"/>
          <w:spacing w:val="-3"/>
          <w:sz w:val="20"/>
        </w:rPr>
        <w:t> </w:t>
      </w:r>
      <w:r>
        <w:rPr>
          <w:rFonts w:ascii="Corbel"/>
          <w:sz w:val="20"/>
        </w:rPr>
        <w:t>a</w:t>
      </w:r>
      <w:r>
        <w:rPr>
          <w:rFonts w:ascii="Corbel"/>
          <w:spacing w:val="-3"/>
          <w:sz w:val="20"/>
        </w:rPr>
        <w:t> </w:t>
      </w:r>
      <w:r>
        <w:rPr>
          <w:rFonts w:ascii="Corbel"/>
          <w:sz w:val="20"/>
        </w:rPr>
        <w:t>related</w:t>
      </w:r>
      <w:r>
        <w:rPr>
          <w:rFonts w:ascii="Corbel"/>
          <w:spacing w:val="-6"/>
          <w:sz w:val="20"/>
        </w:rPr>
        <w:t> </w:t>
      </w:r>
      <w:r>
        <w:rPr>
          <w:rFonts w:ascii="Corbel"/>
          <w:sz w:val="20"/>
        </w:rPr>
        <w:t>party.</w:t>
      </w:r>
    </w:p>
    <w:p>
      <w:pPr>
        <w:spacing w:after="0"/>
        <w:jc w:val="both"/>
        <w:rPr>
          <w:rFonts w:ascii="Corbel"/>
          <w:sz w:val="20"/>
        </w:rPr>
        <w:sectPr>
          <w:pgSz w:w="12240" w:h="15840"/>
          <w:pgMar w:header="740" w:footer="1002" w:top="940" w:bottom="1200" w:left="1120" w:right="1100"/>
        </w:sectPr>
      </w:pPr>
    </w:p>
    <w:p>
      <w:pPr>
        <w:pStyle w:val="BodyText"/>
        <w:rPr>
          <w:rFonts w:ascii="Corbel"/>
          <w:sz w:val="20"/>
        </w:rPr>
      </w:pPr>
    </w:p>
    <w:p>
      <w:pPr>
        <w:pStyle w:val="BodyText"/>
        <w:spacing w:before="5"/>
        <w:rPr>
          <w:rFonts w:ascii="Corbel"/>
          <w:sz w:val="19"/>
        </w:rPr>
      </w:pPr>
    </w:p>
    <w:p>
      <w:pPr>
        <w:pStyle w:val="BodyText"/>
        <w:spacing w:line="276" w:lineRule="auto"/>
        <w:ind w:left="100" w:right="105"/>
        <w:jc w:val="both"/>
      </w:pPr>
      <w:r>
        <w:rPr/>
        <w:t>Recently, KAET Horizon host Ted Simons asked Governor Doug Ducey if there was enough oversight with regards to where Empowerment Savings Account money</w:t>
      </w:r>
      <w:r>
        <w:rPr>
          <w:spacing w:val="-49"/>
        </w:rPr>
        <w:t> </w:t>
      </w:r>
      <w:r>
        <w:rPr/>
        <w:t>directed to private schools. The question related to SB1431 that he had signed expanding </w:t>
      </w:r>
      <w:r>
        <w:rPr>
          <w:spacing w:val="1"/>
        </w:rPr>
        <w:t>state- </w:t>
      </w:r>
      <w:r>
        <w:rPr/>
        <w:t>funded Empowerment Savings Accounts for private schools. The Governor responded, "We want to have transparency and accountability. </w:t>
      </w:r>
      <w:r>
        <w:rPr>
          <w:spacing w:val="5"/>
        </w:rPr>
        <w:t>We </w:t>
      </w:r>
      <w:r>
        <w:rPr/>
        <w:t>can do that.”</w:t>
      </w:r>
      <w:r>
        <w:rPr>
          <w:spacing w:val="-45"/>
        </w:rPr>
        <w:t> </w:t>
      </w:r>
      <w:r>
        <w:rPr/>
        <w:t>(2017)</w:t>
      </w:r>
    </w:p>
    <w:p>
      <w:pPr>
        <w:pStyle w:val="BodyText"/>
        <w:spacing w:line="276" w:lineRule="auto" w:before="201"/>
        <w:ind w:left="100" w:right="112"/>
        <w:jc w:val="both"/>
      </w:pPr>
      <w:r>
        <w:rPr/>
        <w:t>Transparency and accountability should also apply to the state's hundreds of privately owned charter schools. This policy report's findings articulate the need for greater transparency</w:t>
      </w:r>
      <w:r>
        <w:rPr>
          <w:spacing w:val="-16"/>
        </w:rPr>
        <w:t> </w:t>
      </w:r>
      <w:r>
        <w:rPr/>
        <w:t>and</w:t>
      </w:r>
      <w:r>
        <w:rPr>
          <w:spacing w:val="-13"/>
        </w:rPr>
        <w:t> </w:t>
      </w:r>
      <w:r>
        <w:rPr/>
        <w:t>accountability</w:t>
      </w:r>
      <w:r>
        <w:rPr>
          <w:spacing w:val="-16"/>
        </w:rPr>
        <w:t> </w:t>
      </w:r>
      <w:r>
        <w:rPr/>
        <w:t>in</w:t>
      </w:r>
      <w:r>
        <w:rPr>
          <w:spacing w:val="-13"/>
        </w:rPr>
        <w:t> </w:t>
      </w:r>
      <w:r>
        <w:rPr/>
        <w:t>the</w:t>
      </w:r>
      <w:r>
        <w:rPr>
          <w:spacing w:val="-13"/>
        </w:rPr>
        <w:t> </w:t>
      </w:r>
      <w:r>
        <w:rPr/>
        <w:t>charter</w:t>
      </w:r>
      <w:r>
        <w:rPr>
          <w:spacing w:val="-17"/>
        </w:rPr>
        <w:t> </w:t>
      </w:r>
      <w:r>
        <w:rPr/>
        <w:t>school</w:t>
      </w:r>
      <w:r>
        <w:rPr>
          <w:spacing w:val="-14"/>
        </w:rPr>
        <w:t> </w:t>
      </w:r>
      <w:r>
        <w:rPr/>
        <w:t>sector.</w:t>
      </w:r>
      <w:r>
        <w:rPr>
          <w:spacing w:val="-14"/>
        </w:rPr>
        <w:t> </w:t>
      </w:r>
      <w:r>
        <w:rPr/>
        <w:t>In</w:t>
      </w:r>
      <w:r>
        <w:rPr>
          <w:spacing w:val="-13"/>
        </w:rPr>
        <w:t> </w:t>
      </w:r>
      <w:r>
        <w:rPr/>
        <w:t>the</w:t>
      </w:r>
      <w:r>
        <w:rPr>
          <w:spacing w:val="-13"/>
        </w:rPr>
        <w:t> </w:t>
      </w:r>
      <w:r>
        <w:rPr/>
        <w:t>absence</w:t>
      </w:r>
      <w:r>
        <w:rPr>
          <w:spacing w:val="-13"/>
        </w:rPr>
        <w:t> </w:t>
      </w:r>
      <w:r>
        <w:rPr/>
        <w:t>of</w:t>
      </w:r>
      <w:r>
        <w:rPr>
          <w:spacing w:val="-13"/>
        </w:rPr>
        <w:t> </w:t>
      </w:r>
      <w:r>
        <w:rPr/>
        <w:t>a</w:t>
      </w:r>
      <w:r>
        <w:rPr>
          <w:spacing w:val="-13"/>
        </w:rPr>
        <w:t> </w:t>
      </w:r>
      <w:r>
        <w:rPr/>
        <w:t>definitive legal</w:t>
      </w:r>
      <w:r>
        <w:rPr>
          <w:spacing w:val="-10"/>
        </w:rPr>
        <w:t> </w:t>
      </w:r>
      <w:r>
        <w:rPr/>
        <w:t>standard</w:t>
      </w:r>
      <w:r>
        <w:rPr>
          <w:spacing w:val="-11"/>
        </w:rPr>
        <w:t> </w:t>
      </w:r>
      <w:r>
        <w:rPr/>
        <w:t>for</w:t>
      </w:r>
      <w:r>
        <w:rPr>
          <w:spacing w:val="-10"/>
        </w:rPr>
        <w:t> </w:t>
      </w:r>
      <w:r>
        <w:rPr/>
        <w:t>accountability,</w:t>
      </w:r>
      <w:r>
        <w:rPr>
          <w:spacing w:val="-9"/>
        </w:rPr>
        <w:t> </w:t>
      </w:r>
      <w:r>
        <w:rPr/>
        <w:t>charter</w:t>
      </w:r>
      <w:r>
        <w:rPr>
          <w:spacing w:val="-10"/>
        </w:rPr>
        <w:t> </w:t>
      </w:r>
      <w:r>
        <w:rPr/>
        <w:t>holders</w:t>
      </w:r>
      <w:r>
        <w:rPr>
          <w:spacing w:val="-10"/>
        </w:rPr>
        <w:t> </w:t>
      </w:r>
      <w:r>
        <w:rPr/>
        <w:t>and</w:t>
      </w:r>
      <w:r>
        <w:rPr>
          <w:spacing w:val="-11"/>
        </w:rPr>
        <w:t> </w:t>
      </w:r>
      <w:r>
        <w:rPr/>
        <w:t>their</w:t>
      </w:r>
      <w:r>
        <w:rPr>
          <w:spacing w:val="-10"/>
        </w:rPr>
        <w:t> </w:t>
      </w:r>
      <w:r>
        <w:rPr/>
        <w:t>corporate</w:t>
      </w:r>
      <w:r>
        <w:rPr>
          <w:spacing w:val="-11"/>
        </w:rPr>
        <w:t> </w:t>
      </w:r>
      <w:r>
        <w:rPr/>
        <w:t>boards</w:t>
      </w:r>
      <w:r>
        <w:rPr>
          <w:spacing w:val="-11"/>
        </w:rPr>
        <w:t> </w:t>
      </w:r>
      <w:r>
        <w:rPr/>
        <w:t>have</w:t>
      </w:r>
      <w:r>
        <w:rPr>
          <w:spacing w:val="-9"/>
        </w:rPr>
        <w:t> </w:t>
      </w:r>
      <w:r>
        <w:rPr/>
        <w:t>created financial arrangements that benefit ownership at the expense of students and</w:t>
      </w:r>
      <w:r>
        <w:rPr>
          <w:spacing w:val="-37"/>
        </w:rPr>
        <w:t> </w:t>
      </w:r>
      <w:r>
        <w:rPr/>
        <w:t>teachers.</w:t>
      </w:r>
    </w:p>
    <w:p>
      <w:pPr>
        <w:pStyle w:val="BodyText"/>
        <w:spacing w:line="276" w:lineRule="auto" w:before="201"/>
        <w:ind w:left="100" w:right="107"/>
        <w:jc w:val="both"/>
      </w:pPr>
      <w:r>
        <w:rPr>
          <w:b/>
          <w:i/>
        </w:rPr>
        <w:t>Related</w:t>
      </w:r>
      <w:r>
        <w:rPr>
          <w:b/>
          <w:i/>
          <w:spacing w:val="-17"/>
        </w:rPr>
        <w:t> </w:t>
      </w:r>
      <w:r>
        <w:rPr>
          <w:b/>
          <w:i/>
        </w:rPr>
        <w:t>Parties</w:t>
      </w:r>
      <w:r>
        <w:rPr>
          <w:b/>
          <w:i/>
          <w:spacing w:val="-19"/>
        </w:rPr>
        <w:t> </w:t>
      </w:r>
      <w:r>
        <w:rPr>
          <w:b/>
          <w:i/>
        </w:rPr>
        <w:t>Transactions:</w:t>
      </w:r>
      <w:r>
        <w:rPr>
          <w:b/>
          <w:i/>
          <w:spacing w:val="-18"/>
        </w:rPr>
        <w:t> </w:t>
      </w:r>
      <w:r>
        <w:rPr/>
        <w:t>Three-fourths</w:t>
      </w:r>
      <w:r>
        <w:rPr>
          <w:spacing w:val="-20"/>
        </w:rPr>
        <w:t> </w:t>
      </w:r>
      <w:r>
        <w:rPr/>
        <w:t>of</w:t>
      </w:r>
      <w:r>
        <w:rPr>
          <w:spacing w:val="-15"/>
        </w:rPr>
        <w:t> </w:t>
      </w:r>
      <w:r>
        <w:rPr/>
        <w:t>Arizona’s</w:t>
      </w:r>
      <w:r>
        <w:rPr>
          <w:spacing w:val="-18"/>
        </w:rPr>
        <w:t> </w:t>
      </w:r>
      <w:r>
        <w:rPr/>
        <w:t>charter</w:t>
      </w:r>
      <w:r>
        <w:rPr>
          <w:spacing w:val="-18"/>
        </w:rPr>
        <w:t> </w:t>
      </w:r>
      <w:r>
        <w:rPr/>
        <w:t>school</w:t>
      </w:r>
      <w:r>
        <w:rPr>
          <w:spacing w:val="-20"/>
        </w:rPr>
        <w:t> </w:t>
      </w:r>
      <w:r>
        <w:rPr/>
        <w:t>holders</w:t>
      </w:r>
      <w:r>
        <w:rPr>
          <w:spacing w:val="-21"/>
        </w:rPr>
        <w:t> </w:t>
      </w:r>
      <w:r>
        <w:rPr/>
        <w:t>engage in</w:t>
      </w:r>
      <w:r>
        <w:rPr>
          <w:spacing w:val="-7"/>
        </w:rPr>
        <w:t> </w:t>
      </w:r>
      <w:r>
        <w:rPr/>
        <w:t>related-party</w:t>
      </w:r>
      <w:r>
        <w:rPr>
          <w:spacing w:val="-10"/>
        </w:rPr>
        <w:t> </w:t>
      </w:r>
      <w:r>
        <w:rPr/>
        <w:t>transactions</w:t>
      </w:r>
      <w:r>
        <w:rPr>
          <w:spacing w:val="-10"/>
        </w:rPr>
        <w:t> </w:t>
      </w:r>
      <w:r>
        <w:rPr/>
        <w:t>that</w:t>
      </w:r>
      <w:r>
        <w:rPr>
          <w:spacing w:val="-10"/>
        </w:rPr>
        <w:t> </w:t>
      </w:r>
      <w:r>
        <w:rPr/>
        <w:t>did</w:t>
      </w:r>
      <w:r>
        <w:rPr>
          <w:spacing w:val="-10"/>
        </w:rPr>
        <w:t> </w:t>
      </w:r>
      <w:r>
        <w:rPr/>
        <w:t>not</w:t>
      </w:r>
      <w:r>
        <w:rPr>
          <w:spacing w:val="-12"/>
        </w:rPr>
        <w:t> </w:t>
      </w:r>
      <w:r>
        <w:rPr/>
        <w:t>fit</w:t>
      </w:r>
      <w:r>
        <w:rPr>
          <w:spacing w:val="-10"/>
        </w:rPr>
        <w:t> </w:t>
      </w:r>
      <w:r>
        <w:rPr/>
        <w:t>the</w:t>
      </w:r>
      <w:r>
        <w:rPr>
          <w:spacing w:val="-12"/>
        </w:rPr>
        <w:t> </w:t>
      </w:r>
      <w:r>
        <w:rPr/>
        <w:t>definition</w:t>
      </w:r>
      <w:r>
        <w:rPr>
          <w:spacing w:val="-9"/>
        </w:rPr>
        <w:t> </w:t>
      </w:r>
      <w:r>
        <w:rPr/>
        <w:t>of</w:t>
      </w:r>
      <w:r>
        <w:rPr>
          <w:spacing w:val="-7"/>
        </w:rPr>
        <w:t> </w:t>
      </w:r>
      <w:r>
        <w:rPr/>
        <w:t>“saving</w:t>
      </w:r>
      <w:r>
        <w:rPr>
          <w:spacing w:val="-9"/>
        </w:rPr>
        <w:t> </w:t>
      </w:r>
      <w:r>
        <w:rPr/>
        <w:t>money”</w:t>
      </w:r>
      <w:r>
        <w:rPr>
          <w:spacing w:val="-9"/>
        </w:rPr>
        <w:t> </w:t>
      </w:r>
      <w:r>
        <w:rPr/>
        <w:t>or</w:t>
      </w:r>
      <w:r>
        <w:rPr>
          <w:spacing w:val="-9"/>
        </w:rPr>
        <w:t> </w:t>
      </w:r>
      <w:r>
        <w:rPr/>
        <w:t>“efficiency,” an oft-cited reason given for allowing charters to engage in this practice. Gaming the system</w:t>
      </w:r>
      <w:r>
        <w:rPr>
          <w:spacing w:val="-14"/>
        </w:rPr>
        <w:t> </w:t>
      </w:r>
      <w:r>
        <w:rPr/>
        <w:t>is</w:t>
      </w:r>
      <w:r>
        <w:rPr>
          <w:spacing w:val="-15"/>
        </w:rPr>
        <w:t> </w:t>
      </w:r>
      <w:r>
        <w:rPr/>
        <w:t>often</w:t>
      </w:r>
      <w:r>
        <w:rPr>
          <w:spacing w:val="-14"/>
        </w:rPr>
        <w:t> </w:t>
      </w:r>
      <w:r>
        <w:rPr/>
        <w:t>done</w:t>
      </w:r>
      <w:r>
        <w:rPr>
          <w:spacing w:val="-14"/>
        </w:rPr>
        <w:t> </w:t>
      </w:r>
      <w:r>
        <w:rPr/>
        <w:t>through</w:t>
      </w:r>
      <w:r>
        <w:rPr>
          <w:spacing w:val="-14"/>
        </w:rPr>
        <w:t> </w:t>
      </w:r>
      <w:r>
        <w:rPr/>
        <w:t>contractual</w:t>
      </w:r>
      <w:r>
        <w:rPr>
          <w:spacing w:val="-18"/>
        </w:rPr>
        <w:t> </w:t>
      </w:r>
      <w:r>
        <w:rPr/>
        <w:t>transactions</w:t>
      </w:r>
      <w:r>
        <w:rPr>
          <w:spacing w:val="-15"/>
        </w:rPr>
        <w:t> </w:t>
      </w:r>
      <w:r>
        <w:rPr/>
        <w:t>with</w:t>
      </w:r>
      <w:r>
        <w:rPr>
          <w:spacing w:val="-14"/>
        </w:rPr>
        <w:t> </w:t>
      </w:r>
      <w:r>
        <w:rPr/>
        <w:t>subsidiary</w:t>
      </w:r>
      <w:r>
        <w:rPr>
          <w:spacing w:val="-16"/>
        </w:rPr>
        <w:t> </w:t>
      </w:r>
      <w:r>
        <w:rPr/>
        <w:t>for</w:t>
      </w:r>
      <w:r>
        <w:rPr>
          <w:spacing w:val="-16"/>
        </w:rPr>
        <w:t> </w:t>
      </w:r>
      <w:r>
        <w:rPr/>
        <w:t>profit</w:t>
      </w:r>
      <w:r>
        <w:rPr>
          <w:spacing w:val="-15"/>
        </w:rPr>
        <w:t> </w:t>
      </w:r>
      <w:r>
        <w:rPr/>
        <w:t>companies owned by the charter school holder and overseen by the same corporate board as the nonprofit charter</w:t>
      </w:r>
      <w:r>
        <w:rPr>
          <w:spacing w:val="-9"/>
        </w:rPr>
        <w:t> </w:t>
      </w:r>
      <w:r>
        <w:rPr/>
        <w:t>school.</w:t>
      </w:r>
    </w:p>
    <w:p>
      <w:pPr>
        <w:pStyle w:val="BodyText"/>
        <w:spacing w:line="276" w:lineRule="auto" w:before="199"/>
        <w:ind w:left="100" w:right="111"/>
        <w:jc w:val="both"/>
      </w:pPr>
      <w:r>
        <w:rPr/>
        <w:t>In 2013-14, 48% of Arizona's charter school expenditures for contracts, leases</w:t>
      </w:r>
      <w:r>
        <w:rPr>
          <w:spacing w:val="-39"/>
        </w:rPr>
        <w:t> </w:t>
      </w:r>
      <w:r>
        <w:rPr/>
        <w:t>and rents were owed (committed) to for profit companies that employed or were owned by the charter holder or a related party. These commitments amounted to $497.5 million annually. That figure would be higher if administrative and teacher salaries and benefits to related parties were</w:t>
      </w:r>
      <w:r>
        <w:rPr>
          <w:spacing w:val="-25"/>
        </w:rPr>
        <w:t> </w:t>
      </w:r>
      <w:r>
        <w:rPr/>
        <w:t>included.</w:t>
      </w:r>
    </w:p>
    <w:p>
      <w:pPr>
        <w:spacing w:line="276" w:lineRule="auto" w:before="196"/>
        <w:ind w:left="820" w:right="833" w:firstLine="0"/>
        <w:jc w:val="both"/>
        <w:rPr>
          <w:i/>
          <w:sz w:val="24"/>
        </w:rPr>
      </w:pPr>
      <w:r>
        <w:rPr>
          <w:b/>
          <w:i/>
          <w:sz w:val="24"/>
        </w:rPr>
        <w:t>Key Recommendation: </w:t>
      </w:r>
      <w:r>
        <w:rPr>
          <w:i/>
          <w:sz w:val="24"/>
        </w:rPr>
        <w:t>Require publicly funded charter schools to be </w:t>
      </w:r>
      <w:r>
        <w:rPr>
          <w:i/>
          <w:sz w:val="24"/>
        </w:rPr>
        <w:t>subject to the same public competitive bid procurement process as district schools. All related party contracts need to be public information and need to meet the standard of saving money for educating students.</w:t>
      </w:r>
    </w:p>
    <w:p>
      <w:pPr>
        <w:pStyle w:val="BodyText"/>
        <w:spacing w:before="199"/>
        <w:ind w:left="100" w:right="108"/>
        <w:jc w:val="both"/>
      </w:pPr>
      <w:r>
        <w:rPr>
          <w:b/>
          <w:i/>
        </w:rPr>
        <w:t>Excessive Executive Salaries: </w:t>
      </w:r>
      <w:r>
        <w:rPr/>
        <w:t>Numerous cases were found where charter administrators’ salaries are shockingly high for the number of students they oversee. In one</w:t>
      </w:r>
      <w:r>
        <w:rPr>
          <w:spacing w:val="-6"/>
        </w:rPr>
        <w:t> </w:t>
      </w:r>
      <w:r>
        <w:rPr/>
        <w:t>case,</w:t>
      </w:r>
      <w:r>
        <w:rPr>
          <w:spacing w:val="-4"/>
        </w:rPr>
        <w:t> </w:t>
      </w:r>
      <w:r>
        <w:rPr/>
        <w:t>the</w:t>
      </w:r>
      <w:r>
        <w:rPr>
          <w:spacing w:val="-6"/>
        </w:rPr>
        <w:t> </w:t>
      </w:r>
      <w:r>
        <w:rPr/>
        <w:t>executive</w:t>
      </w:r>
      <w:r>
        <w:rPr>
          <w:spacing w:val="-4"/>
        </w:rPr>
        <w:t> </w:t>
      </w:r>
      <w:r>
        <w:rPr/>
        <w:t>director</w:t>
      </w:r>
      <w:r>
        <w:rPr>
          <w:spacing w:val="-5"/>
        </w:rPr>
        <w:t> </w:t>
      </w:r>
      <w:r>
        <w:rPr/>
        <w:t>of</w:t>
      </w:r>
      <w:r>
        <w:rPr>
          <w:spacing w:val="-4"/>
        </w:rPr>
        <w:t> </w:t>
      </w:r>
      <w:r>
        <w:rPr/>
        <w:t>a</w:t>
      </w:r>
      <w:r>
        <w:rPr>
          <w:spacing w:val="-6"/>
        </w:rPr>
        <w:t> </w:t>
      </w:r>
      <w:r>
        <w:rPr/>
        <w:t>youth</w:t>
      </w:r>
      <w:r>
        <w:rPr>
          <w:spacing w:val="-3"/>
        </w:rPr>
        <w:t> </w:t>
      </w:r>
      <w:r>
        <w:rPr/>
        <w:t>center</w:t>
      </w:r>
      <w:r>
        <w:rPr>
          <w:spacing w:val="-5"/>
        </w:rPr>
        <w:t> </w:t>
      </w:r>
      <w:r>
        <w:rPr/>
        <w:t>that</w:t>
      </w:r>
      <w:r>
        <w:rPr>
          <w:spacing w:val="-6"/>
        </w:rPr>
        <w:t> </w:t>
      </w:r>
      <w:r>
        <w:rPr/>
        <w:t>also</w:t>
      </w:r>
      <w:r>
        <w:rPr>
          <w:spacing w:val="-6"/>
        </w:rPr>
        <w:t> </w:t>
      </w:r>
      <w:r>
        <w:rPr/>
        <w:t>includes</w:t>
      </w:r>
      <w:r>
        <w:rPr>
          <w:spacing w:val="-7"/>
        </w:rPr>
        <w:t> </w:t>
      </w:r>
      <w:r>
        <w:rPr/>
        <w:t>a</w:t>
      </w:r>
      <w:r>
        <w:rPr>
          <w:spacing w:val="-4"/>
        </w:rPr>
        <w:t> </w:t>
      </w:r>
      <w:r>
        <w:rPr/>
        <w:t>90-student,</w:t>
      </w:r>
      <w:r>
        <w:rPr>
          <w:spacing w:val="-6"/>
        </w:rPr>
        <w:t> </w:t>
      </w:r>
      <w:r>
        <w:rPr/>
        <w:t>single- location</w:t>
      </w:r>
      <w:r>
        <w:rPr>
          <w:spacing w:val="-12"/>
        </w:rPr>
        <w:t> </w:t>
      </w:r>
      <w:r>
        <w:rPr/>
        <w:t>charter</w:t>
      </w:r>
      <w:r>
        <w:rPr>
          <w:spacing w:val="-13"/>
        </w:rPr>
        <w:t> </w:t>
      </w:r>
      <w:r>
        <w:rPr/>
        <w:t>is</w:t>
      </w:r>
      <w:r>
        <w:rPr>
          <w:spacing w:val="-13"/>
        </w:rPr>
        <w:t> </w:t>
      </w:r>
      <w:r>
        <w:rPr/>
        <w:t>paid</w:t>
      </w:r>
      <w:r>
        <w:rPr>
          <w:spacing w:val="-16"/>
        </w:rPr>
        <w:t> </w:t>
      </w:r>
      <w:r>
        <w:rPr/>
        <w:t>as</w:t>
      </w:r>
      <w:r>
        <w:rPr>
          <w:spacing w:val="-13"/>
        </w:rPr>
        <w:t> </w:t>
      </w:r>
      <w:r>
        <w:rPr/>
        <w:t>much</w:t>
      </w:r>
      <w:r>
        <w:rPr>
          <w:spacing w:val="-13"/>
        </w:rPr>
        <w:t> </w:t>
      </w:r>
      <w:r>
        <w:rPr/>
        <w:t>per</w:t>
      </w:r>
      <w:r>
        <w:rPr>
          <w:spacing w:val="-13"/>
        </w:rPr>
        <w:t> </w:t>
      </w:r>
      <w:r>
        <w:rPr/>
        <w:t>year</w:t>
      </w:r>
      <w:r>
        <w:rPr>
          <w:spacing w:val="-13"/>
        </w:rPr>
        <w:t> </w:t>
      </w:r>
      <w:r>
        <w:rPr/>
        <w:t>as</w:t>
      </w:r>
      <w:r>
        <w:rPr>
          <w:spacing w:val="-13"/>
        </w:rPr>
        <w:t> </w:t>
      </w:r>
      <w:r>
        <w:rPr/>
        <w:t>a</w:t>
      </w:r>
      <w:r>
        <w:rPr>
          <w:spacing w:val="-15"/>
        </w:rPr>
        <w:t> </w:t>
      </w:r>
      <w:r>
        <w:rPr/>
        <w:t>public</w:t>
      </w:r>
      <w:r>
        <w:rPr>
          <w:spacing w:val="-13"/>
        </w:rPr>
        <w:t> </w:t>
      </w:r>
      <w:r>
        <w:rPr/>
        <w:t>school</w:t>
      </w:r>
      <w:r>
        <w:rPr>
          <w:spacing w:val="-13"/>
        </w:rPr>
        <w:t> </w:t>
      </w:r>
      <w:r>
        <w:rPr/>
        <w:t>superintendent</w:t>
      </w:r>
      <w:r>
        <w:rPr>
          <w:spacing w:val="-12"/>
        </w:rPr>
        <w:t> </w:t>
      </w:r>
      <w:r>
        <w:rPr/>
        <w:t>who</w:t>
      </w:r>
      <w:r>
        <w:rPr>
          <w:spacing w:val="-12"/>
        </w:rPr>
        <w:t> </w:t>
      </w:r>
      <w:r>
        <w:rPr/>
        <w:t>oversees 23,000 students. Adding insult to injury, the school in question received failing academic marks from the Arizona State Board for Charters</w:t>
      </w:r>
      <w:r>
        <w:rPr>
          <w:spacing w:val="-21"/>
        </w:rPr>
        <w:t> </w:t>
      </w:r>
      <w:r>
        <w:rPr/>
        <w:t>Schools.</w:t>
      </w:r>
    </w:p>
    <w:p>
      <w:pPr>
        <w:pStyle w:val="BodyText"/>
        <w:spacing w:before="8"/>
        <w:rPr>
          <w:sz w:val="23"/>
        </w:rPr>
      </w:pPr>
    </w:p>
    <w:p>
      <w:pPr>
        <w:spacing w:line="276" w:lineRule="auto" w:before="0"/>
        <w:ind w:left="820" w:right="833" w:firstLine="0"/>
        <w:jc w:val="both"/>
        <w:rPr>
          <w:i/>
          <w:sz w:val="24"/>
        </w:rPr>
      </w:pPr>
      <w:r>
        <w:rPr>
          <w:b/>
          <w:i/>
          <w:sz w:val="24"/>
        </w:rPr>
        <w:t>Key Recommendation: </w:t>
      </w:r>
      <w:r>
        <w:rPr>
          <w:i/>
          <w:sz w:val="24"/>
        </w:rPr>
        <w:t>Require charter school audits to justify executive </w:t>
      </w:r>
      <w:r>
        <w:rPr>
          <w:i/>
          <w:sz w:val="24"/>
        </w:rPr>
        <w:t>and administrative salaries benchmarked to comparably sized district schools.</w:t>
      </w:r>
    </w:p>
    <w:p>
      <w:pPr>
        <w:spacing w:after="0" w:line="276" w:lineRule="auto"/>
        <w:jc w:val="both"/>
        <w:rPr>
          <w:sz w:val="24"/>
        </w:rPr>
        <w:sectPr>
          <w:pgSz w:w="12240" w:h="15840"/>
          <w:pgMar w:header="740" w:footer="1002" w:top="940" w:bottom="1200" w:left="1340" w:right="1320"/>
        </w:sectPr>
      </w:pPr>
    </w:p>
    <w:p>
      <w:pPr>
        <w:pStyle w:val="BodyText"/>
        <w:rPr>
          <w:i/>
          <w:sz w:val="20"/>
        </w:rPr>
      </w:pPr>
    </w:p>
    <w:p>
      <w:pPr>
        <w:pStyle w:val="BodyText"/>
        <w:rPr>
          <w:i/>
          <w:sz w:val="21"/>
        </w:rPr>
      </w:pPr>
    </w:p>
    <w:p>
      <w:pPr>
        <w:pStyle w:val="BodyText"/>
        <w:ind w:left="120" w:right="109"/>
        <w:jc w:val="both"/>
      </w:pPr>
      <w:r>
        <w:rPr>
          <w:b/>
          <w:i/>
        </w:rPr>
        <w:t>Questionable Distributions</w:t>
      </w:r>
      <w:hyperlink w:history="true" w:anchor="_bookmark3">
        <w:r>
          <w:rPr>
            <w:position w:val="8"/>
            <w:sz w:val="16"/>
          </w:rPr>
          <w:t>2</w:t>
        </w:r>
      </w:hyperlink>
      <w:r>
        <w:rPr>
          <w:position w:val="8"/>
          <w:sz w:val="16"/>
        </w:rPr>
        <w:t> </w:t>
      </w:r>
      <w:r>
        <w:rPr>
          <w:b/>
          <w:i/>
        </w:rPr>
        <w:t>of Profits: </w:t>
      </w:r>
      <w:r>
        <w:rPr/>
        <w:t>One-third of for-profit charter schools were found to have made questionably large distributions to their shareholders. Six for-profit charter schools made distributions valued at 12% to 45% of their 2014-2015 state taxpayer revenue. Four for-profit charter schools took more than their net profit as distributions,</w:t>
      </w:r>
      <w:r>
        <w:rPr>
          <w:spacing w:val="-11"/>
        </w:rPr>
        <w:t> </w:t>
      </w:r>
      <w:r>
        <w:rPr/>
        <w:t>turning</w:t>
      </w:r>
      <w:r>
        <w:rPr>
          <w:spacing w:val="-13"/>
        </w:rPr>
        <w:t> </w:t>
      </w:r>
      <w:r>
        <w:rPr/>
        <w:t>a</w:t>
      </w:r>
      <w:r>
        <w:rPr>
          <w:spacing w:val="-13"/>
        </w:rPr>
        <w:t> </w:t>
      </w:r>
      <w:r>
        <w:rPr/>
        <w:t>net</w:t>
      </w:r>
      <w:r>
        <w:rPr>
          <w:spacing w:val="-13"/>
        </w:rPr>
        <w:t> </w:t>
      </w:r>
      <w:r>
        <w:rPr/>
        <w:t>profit</w:t>
      </w:r>
      <w:r>
        <w:rPr>
          <w:spacing w:val="-14"/>
        </w:rPr>
        <w:t> </w:t>
      </w:r>
      <w:r>
        <w:rPr/>
        <w:t>for</w:t>
      </w:r>
      <w:r>
        <w:rPr>
          <w:spacing w:val="-12"/>
        </w:rPr>
        <w:t> </w:t>
      </w:r>
      <w:r>
        <w:rPr/>
        <w:t>the</w:t>
      </w:r>
      <w:r>
        <w:rPr>
          <w:spacing w:val="-11"/>
        </w:rPr>
        <w:t> </w:t>
      </w:r>
      <w:r>
        <w:rPr/>
        <w:t>year</w:t>
      </w:r>
      <w:r>
        <w:rPr>
          <w:spacing w:val="-12"/>
        </w:rPr>
        <w:t> </w:t>
      </w:r>
      <w:r>
        <w:rPr/>
        <w:t>into</w:t>
      </w:r>
      <w:r>
        <w:rPr>
          <w:spacing w:val="-10"/>
        </w:rPr>
        <w:t> </w:t>
      </w:r>
      <w:r>
        <w:rPr/>
        <w:t>a</w:t>
      </w:r>
      <w:r>
        <w:rPr>
          <w:spacing w:val="-13"/>
        </w:rPr>
        <w:t> </w:t>
      </w:r>
      <w:r>
        <w:rPr/>
        <w:t>net</w:t>
      </w:r>
      <w:r>
        <w:rPr>
          <w:spacing w:val="-11"/>
        </w:rPr>
        <w:t> </w:t>
      </w:r>
      <w:r>
        <w:rPr/>
        <w:t>loss</w:t>
      </w:r>
      <w:r>
        <w:rPr>
          <w:spacing w:val="-13"/>
        </w:rPr>
        <w:t> </w:t>
      </w:r>
      <w:r>
        <w:rPr/>
        <w:t>as</w:t>
      </w:r>
      <w:r>
        <w:rPr>
          <w:spacing w:val="-14"/>
        </w:rPr>
        <w:t> </w:t>
      </w:r>
      <w:r>
        <w:rPr/>
        <w:t>a</w:t>
      </w:r>
      <w:r>
        <w:rPr>
          <w:spacing w:val="-11"/>
        </w:rPr>
        <w:t> </w:t>
      </w:r>
      <w:r>
        <w:rPr/>
        <w:t>consequence.</w:t>
      </w:r>
      <w:r>
        <w:rPr>
          <w:spacing w:val="-18"/>
        </w:rPr>
        <w:t> </w:t>
      </w:r>
      <w:r>
        <w:rPr/>
        <w:t>While</w:t>
      </w:r>
      <w:r>
        <w:rPr>
          <w:spacing w:val="-11"/>
        </w:rPr>
        <w:t> </w:t>
      </w:r>
      <w:r>
        <w:rPr/>
        <w:t>large distributions might come from accumulated retained earnings, they can also undermine the financial viability of the</w:t>
      </w:r>
      <w:r>
        <w:rPr>
          <w:spacing w:val="-12"/>
        </w:rPr>
        <w:t> </w:t>
      </w:r>
      <w:r>
        <w:rPr/>
        <w:t>operation.</w:t>
      </w:r>
    </w:p>
    <w:p>
      <w:pPr>
        <w:pStyle w:val="BodyText"/>
        <w:spacing w:before="11"/>
        <w:rPr>
          <w:sz w:val="23"/>
        </w:rPr>
      </w:pPr>
    </w:p>
    <w:p>
      <w:pPr>
        <w:pStyle w:val="BodyText"/>
        <w:ind w:left="120" w:right="111"/>
        <w:jc w:val="both"/>
      </w:pPr>
      <w:r>
        <w:rPr/>
        <w:t>The data on distributions from subsidiary for profits, operated by the same owners and board</w:t>
      </w:r>
      <w:r>
        <w:rPr>
          <w:spacing w:val="-9"/>
        </w:rPr>
        <w:t> </w:t>
      </w:r>
      <w:r>
        <w:rPr/>
        <w:t>as</w:t>
      </w:r>
      <w:r>
        <w:rPr>
          <w:spacing w:val="-9"/>
        </w:rPr>
        <w:t> </w:t>
      </w:r>
      <w:r>
        <w:rPr/>
        <w:t>many</w:t>
      </w:r>
      <w:r>
        <w:rPr>
          <w:spacing w:val="-9"/>
        </w:rPr>
        <w:t> </w:t>
      </w:r>
      <w:r>
        <w:rPr/>
        <w:t>nonprofit</w:t>
      </w:r>
      <w:r>
        <w:rPr>
          <w:spacing w:val="-6"/>
        </w:rPr>
        <w:t> </w:t>
      </w:r>
      <w:r>
        <w:rPr/>
        <w:t>charters,</w:t>
      </w:r>
      <w:r>
        <w:rPr>
          <w:spacing w:val="-3"/>
        </w:rPr>
        <w:t> </w:t>
      </w:r>
      <w:r>
        <w:rPr>
          <w:i/>
        </w:rPr>
        <w:t>is</w:t>
      </w:r>
      <w:r>
        <w:rPr>
          <w:i/>
          <w:spacing w:val="-10"/>
        </w:rPr>
        <w:t> </w:t>
      </w:r>
      <w:r>
        <w:rPr>
          <w:i/>
        </w:rPr>
        <w:t>unavailable</w:t>
      </w:r>
      <w:r>
        <w:rPr>
          <w:i/>
          <w:spacing w:val="-6"/>
        </w:rPr>
        <w:t> </w:t>
      </w:r>
      <w:r>
        <w:rPr>
          <w:i/>
        </w:rPr>
        <w:t>to</w:t>
      </w:r>
      <w:r>
        <w:rPr>
          <w:i/>
          <w:spacing w:val="-6"/>
        </w:rPr>
        <w:t> </w:t>
      </w:r>
      <w:r>
        <w:rPr>
          <w:i/>
        </w:rPr>
        <w:t>the</w:t>
      </w:r>
      <w:r>
        <w:rPr>
          <w:i/>
          <w:spacing w:val="-8"/>
        </w:rPr>
        <w:t> </w:t>
      </w:r>
      <w:r>
        <w:rPr>
          <w:i/>
        </w:rPr>
        <w:t>public</w:t>
      </w:r>
      <w:r>
        <w:rPr>
          <w:i/>
          <w:spacing w:val="-6"/>
        </w:rPr>
        <w:t> </w:t>
      </w:r>
      <w:r>
        <w:rPr/>
        <w:t>as</w:t>
      </w:r>
      <w:r>
        <w:rPr>
          <w:spacing w:val="-7"/>
        </w:rPr>
        <w:t> </w:t>
      </w:r>
      <w:r>
        <w:rPr/>
        <w:t>the</w:t>
      </w:r>
      <w:r>
        <w:rPr>
          <w:spacing w:val="-8"/>
        </w:rPr>
        <w:t> </w:t>
      </w:r>
      <w:r>
        <w:rPr/>
        <w:t>firms</w:t>
      </w:r>
      <w:r>
        <w:rPr>
          <w:spacing w:val="-7"/>
        </w:rPr>
        <w:t> </w:t>
      </w:r>
      <w:r>
        <w:rPr/>
        <w:t>are</w:t>
      </w:r>
      <w:r>
        <w:rPr>
          <w:spacing w:val="-7"/>
        </w:rPr>
        <w:t> </w:t>
      </w:r>
      <w:r>
        <w:rPr/>
        <w:t>considered separate businesses from the charter. Where that information is discernable through forensic accounting, it is</w:t>
      </w:r>
      <w:r>
        <w:rPr>
          <w:spacing w:val="-11"/>
        </w:rPr>
        <w:t> </w:t>
      </w:r>
      <w:r>
        <w:rPr/>
        <w:t>provided.</w:t>
      </w:r>
    </w:p>
    <w:p>
      <w:pPr>
        <w:pStyle w:val="BodyText"/>
        <w:spacing w:before="11"/>
        <w:rPr>
          <w:sz w:val="23"/>
        </w:rPr>
      </w:pPr>
    </w:p>
    <w:p>
      <w:pPr>
        <w:spacing w:line="276" w:lineRule="auto" w:before="0"/>
        <w:ind w:left="840" w:right="835" w:firstLine="0"/>
        <w:jc w:val="both"/>
        <w:rPr>
          <w:i/>
          <w:sz w:val="24"/>
        </w:rPr>
      </w:pPr>
      <w:r>
        <w:rPr>
          <w:b/>
          <w:i/>
          <w:sz w:val="24"/>
        </w:rPr>
        <w:t>Key Recommendation: </w:t>
      </w:r>
      <w:r>
        <w:rPr>
          <w:i/>
          <w:sz w:val="24"/>
        </w:rPr>
        <w:t>Charter school audits need to identify the source </w:t>
      </w:r>
      <w:r>
        <w:rPr>
          <w:i/>
          <w:sz w:val="24"/>
        </w:rPr>
        <w:t>of any profit distribution and the ASBCS would need to approve any distribution that exceeded net profits for the year.</w:t>
      </w:r>
    </w:p>
    <w:p>
      <w:pPr>
        <w:pStyle w:val="BodyText"/>
        <w:spacing w:before="204"/>
        <w:ind w:left="120" w:right="113"/>
        <w:jc w:val="both"/>
      </w:pPr>
      <w:r>
        <w:rPr>
          <w:b/>
          <w:i/>
        </w:rPr>
        <w:t>Reduced</w:t>
      </w:r>
      <w:r>
        <w:rPr>
          <w:b/>
          <w:i/>
          <w:spacing w:val="-8"/>
        </w:rPr>
        <w:t> </w:t>
      </w:r>
      <w:r>
        <w:rPr>
          <w:b/>
          <w:i/>
        </w:rPr>
        <w:t>Classroom</w:t>
      </w:r>
      <w:r>
        <w:rPr>
          <w:b/>
          <w:i/>
          <w:spacing w:val="-13"/>
        </w:rPr>
        <w:t> </w:t>
      </w:r>
      <w:r>
        <w:rPr>
          <w:b/>
          <w:i/>
        </w:rPr>
        <w:t>Spending:</w:t>
      </w:r>
      <w:r>
        <w:rPr>
          <w:b/>
          <w:i/>
          <w:spacing w:val="-9"/>
        </w:rPr>
        <w:t> </w:t>
      </w:r>
      <w:r>
        <w:rPr/>
        <w:t>The</w:t>
      </w:r>
      <w:r>
        <w:rPr>
          <w:spacing w:val="-10"/>
        </w:rPr>
        <w:t> </w:t>
      </w:r>
      <w:r>
        <w:rPr/>
        <w:t>losers</w:t>
      </w:r>
      <w:r>
        <w:rPr>
          <w:spacing w:val="-11"/>
        </w:rPr>
        <w:t> </w:t>
      </w:r>
      <w:r>
        <w:rPr/>
        <w:t>in</w:t>
      </w:r>
      <w:r>
        <w:rPr>
          <w:spacing w:val="-8"/>
        </w:rPr>
        <w:t> </w:t>
      </w:r>
      <w:r>
        <w:rPr/>
        <w:t>this</w:t>
      </w:r>
      <w:r>
        <w:rPr>
          <w:spacing w:val="-11"/>
        </w:rPr>
        <w:t> </w:t>
      </w:r>
      <w:r>
        <w:rPr/>
        <w:t>mix</w:t>
      </w:r>
      <w:r>
        <w:rPr>
          <w:spacing w:val="-11"/>
        </w:rPr>
        <w:t> </w:t>
      </w:r>
      <w:r>
        <w:rPr/>
        <w:t>appear</w:t>
      </w:r>
      <w:r>
        <w:rPr>
          <w:spacing w:val="-11"/>
        </w:rPr>
        <w:t> </w:t>
      </w:r>
      <w:r>
        <w:rPr/>
        <w:t>to</w:t>
      </w:r>
      <w:r>
        <w:rPr>
          <w:spacing w:val="-9"/>
        </w:rPr>
        <w:t> </w:t>
      </w:r>
      <w:r>
        <w:rPr/>
        <w:t>be</w:t>
      </w:r>
      <w:r>
        <w:rPr>
          <w:spacing w:val="-10"/>
        </w:rPr>
        <w:t> </w:t>
      </w:r>
      <w:r>
        <w:rPr/>
        <w:t>taxpayers,</w:t>
      </w:r>
      <w:r>
        <w:rPr>
          <w:spacing w:val="-8"/>
        </w:rPr>
        <w:t> </w:t>
      </w:r>
      <w:r>
        <w:rPr/>
        <w:t>teachers and students in a majority of cases. Charter school teachers on average earn 20% less than</w:t>
      </w:r>
      <w:r>
        <w:rPr>
          <w:spacing w:val="-6"/>
        </w:rPr>
        <w:t> </w:t>
      </w:r>
      <w:r>
        <w:rPr/>
        <w:t>their</w:t>
      </w:r>
      <w:r>
        <w:rPr>
          <w:spacing w:val="-8"/>
        </w:rPr>
        <w:t> </w:t>
      </w:r>
      <w:r>
        <w:rPr/>
        <w:t>public</w:t>
      </w:r>
      <w:r>
        <w:rPr>
          <w:spacing w:val="-7"/>
        </w:rPr>
        <w:t> </w:t>
      </w:r>
      <w:r>
        <w:rPr/>
        <w:t>district</w:t>
      </w:r>
      <w:r>
        <w:rPr>
          <w:spacing w:val="-6"/>
        </w:rPr>
        <w:t> </w:t>
      </w:r>
      <w:r>
        <w:rPr/>
        <w:t>school</w:t>
      </w:r>
      <w:r>
        <w:rPr>
          <w:spacing w:val="-7"/>
        </w:rPr>
        <w:t> </w:t>
      </w:r>
      <w:r>
        <w:rPr/>
        <w:t>colleagues</w:t>
      </w:r>
      <w:r>
        <w:rPr>
          <w:spacing w:val="-7"/>
        </w:rPr>
        <w:t> </w:t>
      </w:r>
      <w:r>
        <w:rPr/>
        <w:t>while</w:t>
      </w:r>
      <w:r>
        <w:rPr>
          <w:spacing w:val="-6"/>
        </w:rPr>
        <w:t> </w:t>
      </w:r>
      <w:r>
        <w:rPr/>
        <w:t>43%</w:t>
      </w:r>
      <w:r>
        <w:rPr>
          <w:spacing w:val="-7"/>
        </w:rPr>
        <w:t> </w:t>
      </w:r>
      <w:r>
        <w:rPr/>
        <w:t>of</w:t>
      </w:r>
      <w:r>
        <w:rPr>
          <w:spacing w:val="-4"/>
        </w:rPr>
        <w:t> </w:t>
      </w:r>
      <w:r>
        <w:rPr/>
        <w:t>charters</w:t>
      </w:r>
      <w:r>
        <w:rPr>
          <w:spacing w:val="-7"/>
        </w:rPr>
        <w:t> </w:t>
      </w:r>
      <w:r>
        <w:rPr/>
        <w:t>do</w:t>
      </w:r>
      <w:r>
        <w:rPr>
          <w:spacing w:val="-6"/>
        </w:rPr>
        <w:t> </w:t>
      </w:r>
      <w:r>
        <w:rPr/>
        <w:t>not</w:t>
      </w:r>
      <w:r>
        <w:rPr>
          <w:spacing w:val="-6"/>
        </w:rPr>
        <w:t> </w:t>
      </w:r>
      <w:r>
        <w:rPr/>
        <w:t>offer</w:t>
      </w:r>
      <w:r>
        <w:rPr>
          <w:spacing w:val="-7"/>
        </w:rPr>
        <w:t> </w:t>
      </w:r>
      <w:r>
        <w:rPr/>
        <w:t>a</w:t>
      </w:r>
      <w:r>
        <w:rPr>
          <w:spacing w:val="-6"/>
        </w:rPr>
        <w:t> </w:t>
      </w:r>
      <w:r>
        <w:rPr/>
        <w:t>retirement or</w:t>
      </w:r>
      <w:r>
        <w:rPr>
          <w:spacing w:val="-15"/>
        </w:rPr>
        <w:t> </w:t>
      </w:r>
      <w:r>
        <w:rPr/>
        <w:t>savings</w:t>
      </w:r>
      <w:r>
        <w:rPr>
          <w:spacing w:val="-14"/>
        </w:rPr>
        <w:t> </w:t>
      </w:r>
      <w:r>
        <w:rPr/>
        <w:t>plan</w:t>
      </w:r>
      <w:r>
        <w:rPr>
          <w:spacing w:val="-12"/>
        </w:rPr>
        <w:t> </w:t>
      </w:r>
      <w:r>
        <w:rPr/>
        <w:t>to</w:t>
      </w:r>
      <w:r>
        <w:rPr>
          <w:spacing w:val="-16"/>
        </w:rPr>
        <w:t> </w:t>
      </w:r>
      <w:r>
        <w:rPr/>
        <w:t>their</w:t>
      </w:r>
      <w:r>
        <w:rPr>
          <w:spacing w:val="-18"/>
        </w:rPr>
        <w:t> </w:t>
      </w:r>
      <w:r>
        <w:rPr/>
        <w:t>employees.</w:t>
      </w:r>
      <w:r>
        <w:rPr>
          <w:spacing w:val="-16"/>
        </w:rPr>
        <w:t> </w:t>
      </w:r>
      <w:r>
        <w:rPr/>
        <w:t>This</w:t>
      </w:r>
      <w:r>
        <w:rPr>
          <w:spacing w:val="-17"/>
        </w:rPr>
        <w:t> </w:t>
      </w:r>
      <w:r>
        <w:rPr/>
        <w:t>issue</w:t>
      </w:r>
      <w:r>
        <w:rPr>
          <w:spacing w:val="-17"/>
        </w:rPr>
        <w:t> </w:t>
      </w:r>
      <w:r>
        <w:rPr/>
        <w:t>is</w:t>
      </w:r>
      <w:r>
        <w:rPr>
          <w:spacing w:val="-14"/>
        </w:rPr>
        <w:t> </w:t>
      </w:r>
      <w:r>
        <w:rPr/>
        <w:t>explored</w:t>
      </w:r>
      <w:r>
        <w:rPr>
          <w:spacing w:val="-13"/>
        </w:rPr>
        <w:t> </w:t>
      </w:r>
      <w:r>
        <w:rPr/>
        <w:t>in</w:t>
      </w:r>
      <w:r>
        <w:rPr>
          <w:spacing w:val="-16"/>
        </w:rPr>
        <w:t> </w:t>
      </w:r>
      <w:r>
        <w:rPr/>
        <w:t>depth</w:t>
      </w:r>
      <w:r>
        <w:rPr>
          <w:spacing w:val="-15"/>
        </w:rPr>
        <w:t> </w:t>
      </w:r>
      <w:r>
        <w:rPr/>
        <w:t>in</w:t>
      </w:r>
      <w:r>
        <w:rPr>
          <w:spacing w:val="-16"/>
        </w:rPr>
        <w:t> </w:t>
      </w:r>
      <w:r>
        <w:rPr/>
        <w:t>the</w:t>
      </w:r>
      <w:r>
        <w:rPr>
          <w:spacing w:val="-13"/>
        </w:rPr>
        <w:t> </w:t>
      </w:r>
      <w:r>
        <w:rPr/>
        <w:t>third</w:t>
      </w:r>
      <w:r>
        <w:rPr>
          <w:spacing w:val="-13"/>
        </w:rPr>
        <w:t> </w:t>
      </w:r>
      <w:r>
        <w:rPr/>
        <w:t>policy</w:t>
      </w:r>
      <w:r>
        <w:rPr>
          <w:spacing w:val="-16"/>
        </w:rPr>
        <w:t> </w:t>
      </w:r>
      <w:r>
        <w:rPr/>
        <w:t>report of the</w:t>
      </w:r>
      <w:r>
        <w:rPr>
          <w:spacing w:val="-4"/>
        </w:rPr>
        <w:t> </w:t>
      </w:r>
      <w:r>
        <w:rPr/>
        <w:t>series.</w:t>
      </w:r>
    </w:p>
    <w:p>
      <w:pPr>
        <w:pStyle w:val="BodyText"/>
        <w:spacing w:before="4"/>
      </w:pPr>
    </w:p>
    <w:p>
      <w:pPr>
        <w:pStyle w:val="BodyText"/>
        <w:spacing w:line="276" w:lineRule="auto"/>
        <w:ind w:left="120" w:right="106"/>
        <w:jc w:val="both"/>
      </w:pPr>
      <w:r>
        <w:rPr/>
        <w:t>The 2013-2014 Annual Report of the Superintendent for Public Instruction showed that charter schools spend 45% of revenues on classroom instruction compared to public district school spending at 52% of revenue. At the end of Fiscal Year 2015 the numbers were</w:t>
      </w:r>
      <w:r>
        <w:rPr>
          <w:spacing w:val="-14"/>
        </w:rPr>
        <w:t> </w:t>
      </w:r>
      <w:r>
        <w:rPr/>
        <w:t>51.5%</w:t>
      </w:r>
      <w:r>
        <w:rPr>
          <w:spacing w:val="-16"/>
        </w:rPr>
        <w:t> </w:t>
      </w:r>
      <w:r>
        <w:rPr/>
        <w:t>for</w:t>
      </w:r>
      <w:r>
        <w:rPr>
          <w:spacing w:val="-15"/>
        </w:rPr>
        <w:t> </w:t>
      </w:r>
      <w:r>
        <w:rPr/>
        <w:t>District</w:t>
      </w:r>
      <w:r>
        <w:rPr>
          <w:spacing w:val="-13"/>
        </w:rPr>
        <w:t> </w:t>
      </w:r>
      <w:r>
        <w:rPr/>
        <w:t>Classroom</w:t>
      </w:r>
      <w:r>
        <w:rPr>
          <w:spacing w:val="-15"/>
        </w:rPr>
        <w:t> </w:t>
      </w:r>
      <w:r>
        <w:rPr/>
        <w:t>Spending</w:t>
      </w:r>
      <w:r>
        <w:rPr>
          <w:spacing w:val="-15"/>
        </w:rPr>
        <w:t> </w:t>
      </w:r>
      <w:r>
        <w:rPr/>
        <w:t>and</w:t>
      </w:r>
      <w:r>
        <w:rPr>
          <w:spacing w:val="-13"/>
        </w:rPr>
        <w:t> </w:t>
      </w:r>
      <w:r>
        <w:rPr/>
        <w:t>47.5%</w:t>
      </w:r>
      <w:r>
        <w:rPr>
          <w:spacing w:val="-19"/>
        </w:rPr>
        <w:t> </w:t>
      </w:r>
      <w:r>
        <w:rPr/>
        <w:t>for</w:t>
      </w:r>
      <w:r>
        <w:rPr>
          <w:spacing w:val="-15"/>
        </w:rPr>
        <w:t> </w:t>
      </w:r>
      <w:r>
        <w:rPr/>
        <w:t>Charter</w:t>
      </w:r>
      <w:r>
        <w:rPr>
          <w:spacing w:val="-15"/>
        </w:rPr>
        <w:t> </w:t>
      </w:r>
      <w:r>
        <w:rPr/>
        <w:t>Classroom</w:t>
      </w:r>
      <w:r>
        <w:rPr>
          <w:spacing w:val="-15"/>
        </w:rPr>
        <w:t> </w:t>
      </w:r>
      <w:r>
        <w:rPr/>
        <w:t>Spending. Student</w:t>
      </w:r>
      <w:r>
        <w:rPr>
          <w:spacing w:val="-6"/>
        </w:rPr>
        <w:t> </w:t>
      </w:r>
      <w:r>
        <w:rPr/>
        <w:t>Support</w:t>
      </w:r>
      <w:r>
        <w:rPr>
          <w:spacing w:val="-7"/>
        </w:rPr>
        <w:t> </w:t>
      </w:r>
      <w:r>
        <w:rPr/>
        <w:t>Levels</w:t>
      </w:r>
      <w:r>
        <w:rPr>
          <w:spacing w:val="-4"/>
        </w:rPr>
        <w:t> </w:t>
      </w:r>
      <w:r>
        <w:rPr/>
        <w:t>at</w:t>
      </w:r>
      <w:r>
        <w:rPr>
          <w:spacing w:val="-4"/>
        </w:rPr>
        <w:t> </w:t>
      </w:r>
      <w:r>
        <w:rPr/>
        <w:t>Charters</w:t>
      </w:r>
      <w:r>
        <w:rPr>
          <w:spacing w:val="-5"/>
        </w:rPr>
        <w:t> </w:t>
      </w:r>
      <w:r>
        <w:rPr/>
        <w:t>was</w:t>
      </w:r>
      <w:r>
        <w:rPr>
          <w:spacing w:val="-4"/>
        </w:rPr>
        <w:t> </w:t>
      </w:r>
      <w:r>
        <w:rPr/>
        <w:t>4.9%</w:t>
      </w:r>
      <w:r>
        <w:rPr>
          <w:spacing w:val="-4"/>
        </w:rPr>
        <w:t> </w:t>
      </w:r>
      <w:r>
        <w:rPr/>
        <w:t>to</w:t>
      </w:r>
      <w:r>
        <w:rPr>
          <w:spacing w:val="-3"/>
        </w:rPr>
        <w:t> </w:t>
      </w:r>
      <w:r>
        <w:rPr/>
        <w:t>Districts</w:t>
      </w:r>
      <w:r>
        <w:rPr>
          <w:spacing w:val="-4"/>
        </w:rPr>
        <w:t> </w:t>
      </w:r>
      <w:r>
        <w:rPr/>
        <w:t>at</w:t>
      </w:r>
      <w:r>
        <w:rPr>
          <w:spacing w:val="-4"/>
        </w:rPr>
        <w:t> </w:t>
      </w:r>
      <w:r>
        <w:rPr/>
        <w:t>7.9%.</w:t>
      </w:r>
      <w:r>
        <w:rPr>
          <w:spacing w:val="-8"/>
        </w:rPr>
        <w:t> </w:t>
      </w:r>
      <w:r>
        <w:rPr/>
        <w:t>This</w:t>
      </w:r>
      <w:r>
        <w:rPr>
          <w:spacing w:val="-5"/>
        </w:rPr>
        <w:t> </w:t>
      </w:r>
      <w:r>
        <w:rPr/>
        <w:t>information</w:t>
      </w:r>
      <w:r>
        <w:rPr>
          <w:spacing w:val="-4"/>
        </w:rPr>
        <w:t> </w:t>
      </w:r>
      <w:r>
        <w:rPr/>
        <w:t>is</w:t>
      </w:r>
      <w:r>
        <w:rPr>
          <w:spacing w:val="-5"/>
        </w:rPr>
        <w:t> </w:t>
      </w:r>
      <w:r>
        <w:rPr/>
        <w:t>not widely known because these figures are buried in the Annual Report. The data on which they are based, AFRs, are not scrutinized for accuracy for charter schools and is sometimes inaccurately entered. Another issue that is explored in this report is inconsistent financial accounting to the state, IRS and on the</w:t>
      </w:r>
      <w:r>
        <w:rPr>
          <w:spacing w:val="-25"/>
        </w:rPr>
        <w:t> </w:t>
      </w:r>
      <w:r>
        <w:rPr/>
        <w:t>audits.</w:t>
      </w:r>
    </w:p>
    <w:p>
      <w:pPr>
        <w:pStyle w:val="BodyText"/>
        <w:spacing w:line="276" w:lineRule="auto" w:before="199"/>
        <w:ind w:left="120" w:right="119"/>
        <w:jc w:val="both"/>
      </w:pPr>
      <w:r>
        <w:rPr/>
        <w:t>From related party transactions to excessive executive compensation to questionable distributions to shareholders, revenue from the state’s General Fund designated for educational purposes instead disproportionately benefits the charter school holders and corporate board members of charter schools.</w:t>
      </w:r>
    </w:p>
    <w:p>
      <w:pPr>
        <w:pStyle w:val="BodyText"/>
        <w:rPr>
          <w:sz w:val="20"/>
        </w:rPr>
      </w:pPr>
    </w:p>
    <w:p>
      <w:pPr>
        <w:pStyle w:val="BodyText"/>
        <w:rPr>
          <w:sz w:val="20"/>
        </w:rPr>
      </w:pPr>
    </w:p>
    <w:p>
      <w:pPr>
        <w:pStyle w:val="BodyText"/>
        <w:rPr>
          <w:sz w:val="20"/>
        </w:rPr>
      </w:pPr>
    </w:p>
    <w:p>
      <w:pPr>
        <w:pStyle w:val="BodyText"/>
        <w:spacing w:before="1"/>
        <w:rPr>
          <w:sz w:val="15"/>
        </w:rPr>
      </w:pPr>
      <w:r>
        <w:rPr/>
        <w:pict>
          <v:line style="position:absolute;mso-position-horizontal-relative:page;mso-position-vertical-relative:paragraph;z-index:1072;mso-wrap-distance-left:0;mso-wrap-distance-right:0" from="72pt,11.03402pt" to="216pt,11.03402pt" stroked="true" strokeweight=".72pt" strokecolor="#000000">
            <v:stroke dashstyle="solid"/>
            <w10:wrap type="topAndBottom"/>
          </v:line>
        </w:pict>
      </w:r>
    </w:p>
    <w:p>
      <w:pPr>
        <w:spacing w:before="45"/>
        <w:ind w:left="120" w:right="122" w:firstLine="0"/>
        <w:jc w:val="both"/>
        <w:rPr>
          <w:rFonts w:ascii="Calibri" w:hAnsi="Calibri"/>
          <w:sz w:val="20"/>
        </w:rPr>
      </w:pPr>
      <w:bookmarkStart w:name="_bookmark3" w:id="4"/>
      <w:bookmarkEnd w:id="4"/>
      <w:r>
        <w:rPr/>
      </w:r>
      <w:r>
        <w:rPr>
          <w:rFonts w:ascii="Calibri" w:hAnsi="Calibri"/>
          <w:position w:val="7"/>
          <w:sz w:val="13"/>
        </w:rPr>
        <w:t>2 </w:t>
      </w:r>
      <w:r>
        <w:rPr>
          <w:rFonts w:ascii="Calibri" w:hAnsi="Calibri"/>
          <w:sz w:val="20"/>
        </w:rPr>
        <w:t>Distributions are amounts paid to stockholders in a “for profit” charter company. The distributions reported here come</w:t>
      </w:r>
      <w:r>
        <w:rPr>
          <w:rFonts w:ascii="Calibri" w:hAnsi="Calibri"/>
          <w:spacing w:val="-11"/>
          <w:sz w:val="20"/>
        </w:rPr>
        <w:t> </w:t>
      </w:r>
      <w:r>
        <w:rPr>
          <w:rFonts w:ascii="Calibri" w:hAnsi="Calibri"/>
          <w:sz w:val="20"/>
        </w:rPr>
        <w:t>from</w:t>
      </w:r>
      <w:r>
        <w:rPr>
          <w:rFonts w:ascii="Calibri" w:hAnsi="Calibri"/>
          <w:spacing w:val="-11"/>
          <w:sz w:val="20"/>
        </w:rPr>
        <w:t> </w:t>
      </w:r>
      <w:r>
        <w:rPr>
          <w:rFonts w:ascii="Calibri" w:hAnsi="Calibri"/>
          <w:sz w:val="20"/>
        </w:rPr>
        <w:t>companies</w:t>
      </w:r>
      <w:r>
        <w:rPr>
          <w:rFonts w:ascii="Calibri" w:hAnsi="Calibri"/>
          <w:spacing w:val="-14"/>
          <w:sz w:val="20"/>
        </w:rPr>
        <w:t> </w:t>
      </w:r>
      <w:r>
        <w:rPr>
          <w:rFonts w:ascii="Calibri" w:hAnsi="Calibri"/>
          <w:sz w:val="20"/>
        </w:rPr>
        <w:t>that</w:t>
      </w:r>
      <w:r>
        <w:rPr>
          <w:rFonts w:ascii="Calibri" w:hAnsi="Calibri"/>
          <w:spacing w:val="-12"/>
          <w:sz w:val="20"/>
        </w:rPr>
        <w:t> </w:t>
      </w:r>
      <w:r>
        <w:rPr>
          <w:rFonts w:ascii="Calibri" w:hAnsi="Calibri"/>
          <w:sz w:val="20"/>
        </w:rPr>
        <w:t>are</w:t>
      </w:r>
      <w:r>
        <w:rPr>
          <w:rFonts w:ascii="Calibri" w:hAnsi="Calibri"/>
          <w:spacing w:val="-13"/>
          <w:sz w:val="20"/>
        </w:rPr>
        <w:t> </w:t>
      </w:r>
      <w:r>
        <w:rPr>
          <w:rFonts w:ascii="Calibri" w:hAnsi="Calibri"/>
          <w:sz w:val="20"/>
        </w:rPr>
        <w:t>registered</w:t>
      </w:r>
      <w:r>
        <w:rPr>
          <w:rFonts w:ascii="Calibri" w:hAnsi="Calibri"/>
          <w:spacing w:val="-12"/>
          <w:sz w:val="20"/>
        </w:rPr>
        <w:t> </w:t>
      </w:r>
      <w:r>
        <w:rPr>
          <w:rFonts w:ascii="Calibri" w:hAnsi="Calibri"/>
          <w:sz w:val="20"/>
        </w:rPr>
        <w:t>as</w:t>
      </w:r>
      <w:r>
        <w:rPr>
          <w:rFonts w:ascii="Calibri" w:hAnsi="Calibri"/>
          <w:spacing w:val="-11"/>
          <w:sz w:val="20"/>
        </w:rPr>
        <w:t> </w:t>
      </w:r>
      <w:r>
        <w:rPr>
          <w:rFonts w:ascii="Calibri" w:hAnsi="Calibri"/>
          <w:sz w:val="20"/>
        </w:rPr>
        <w:t>for</w:t>
      </w:r>
      <w:r>
        <w:rPr>
          <w:rFonts w:ascii="Calibri" w:hAnsi="Calibri"/>
          <w:spacing w:val="-13"/>
          <w:sz w:val="20"/>
        </w:rPr>
        <w:t> </w:t>
      </w:r>
      <w:r>
        <w:rPr>
          <w:rFonts w:ascii="Calibri" w:hAnsi="Calibri"/>
          <w:sz w:val="20"/>
        </w:rPr>
        <w:t>profit</w:t>
      </w:r>
      <w:r>
        <w:rPr>
          <w:rFonts w:ascii="Calibri" w:hAnsi="Calibri"/>
          <w:spacing w:val="-12"/>
          <w:sz w:val="20"/>
        </w:rPr>
        <w:t> </w:t>
      </w:r>
      <w:r>
        <w:rPr>
          <w:rFonts w:ascii="Calibri" w:hAnsi="Calibri"/>
          <w:sz w:val="20"/>
        </w:rPr>
        <w:t>charters.</w:t>
      </w:r>
      <w:r>
        <w:rPr>
          <w:rFonts w:ascii="Calibri" w:hAnsi="Calibri"/>
          <w:spacing w:val="-10"/>
          <w:sz w:val="20"/>
        </w:rPr>
        <w:t> </w:t>
      </w:r>
      <w:r>
        <w:rPr>
          <w:rFonts w:ascii="Calibri" w:hAnsi="Calibri"/>
          <w:sz w:val="20"/>
        </w:rPr>
        <w:t>This</w:t>
      </w:r>
      <w:r>
        <w:rPr>
          <w:rFonts w:ascii="Calibri" w:hAnsi="Calibri"/>
          <w:spacing w:val="-12"/>
          <w:sz w:val="20"/>
        </w:rPr>
        <w:t> </w:t>
      </w:r>
      <w:r>
        <w:rPr>
          <w:rFonts w:ascii="Calibri" w:hAnsi="Calibri"/>
          <w:sz w:val="20"/>
        </w:rPr>
        <w:t>is</w:t>
      </w:r>
      <w:r>
        <w:rPr>
          <w:rFonts w:ascii="Calibri" w:hAnsi="Calibri"/>
          <w:spacing w:val="-14"/>
          <w:sz w:val="20"/>
        </w:rPr>
        <w:t> </w:t>
      </w:r>
      <w:r>
        <w:rPr>
          <w:rFonts w:ascii="Calibri" w:hAnsi="Calibri"/>
          <w:sz w:val="20"/>
        </w:rPr>
        <w:t>not</w:t>
      </w:r>
      <w:r>
        <w:rPr>
          <w:rFonts w:ascii="Calibri" w:hAnsi="Calibri"/>
          <w:spacing w:val="-12"/>
          <w:sz w:val="20"/>
        </w:rPr>
        <w:t> </w:t>
      </w:r>
      <w:r>
        <w:rPr>
          <w:rFonts w:ascii="Calibri" w:hAnsi="Calibri"/>
          <w:sz w:val="20"/>
        </w:rPr>
        <w:t>to</w:t>
      </w:r>
      <w:r>
        <w:rPr>
          <w:rFonts w:ascii="Calibri" w:hAnsi="Calibri"/>
          <w:spacing w:val="-12"/>
          <w:sz w:val="20"/>
        </w:rPr>
        <w:t> </w:t>
      </w:r>
      <w:r>
        <w:rPr>
          <w:rFonts w:ascii="Calibri" w:hAnsi="Calibri"/>
          <w:sz w:val="20"/>
        </w:rPr>
        <w:t>be</w:t>
      </w:r>
      <w:r>
        <w:rPr>
          <w:rFonts w:ascii="Calibri" w:hAnsi="Calibri"/>
          <w:spacing w:val="-13"/>
          <w:sz w:val="20"/>
        </w:rPr>
        <w:t> </w:t>
      </w:r>
      <w:r>
        <w:rPr>
          <w:rFonts w:ascii="Calibri" w:hAnsi="Calibri"/>
          <w:sz w:val="20"/>
        </w:rPr>
        <w:t>confused</w:t>
      </w:r>
      <w:r>
        <w:rPr>
          <w:rFonts w:ascii="Calibri" w:hAnsi="Calibri"/>
          <w:spacing w:val="-10"/>
          <w:sz w:val="20"/>
        </w:rPr>
        <w:t> </w:t>
      </w:r>
      <w:r>
        <w:rPr>
          <w:rFonts w:ascii="Calibri" w:hAnsi="Calibri"/>
          <w:sz w:val="20"/>
        </w:rPr>
        <w:t>with</w:t>
      </w:r>
      <w:r>
        <w:rPr>
          <w:rFonts w:ascii="Calibri" w:hAnsi="Calibri"/>
          <w:spacing w:val="-12"/>
          <w:sz w:val="20"/>
        </w:rPr>
        <w:t> </w:t>
      </w:r>
      <w:r>
        <w:rPr>
          <w:rFonts w:ascii="Calibri" w:hAnsi="Calibri"/>
          <w:sz w:val="20"/>
        </w:rPr>
        <w:t>“for</w:t>
      </w:r>
      <w:r>
        <w:rPr>
          <w:rFonts w:ascii="Calibri" w:hAnsi="Calibri"/>
          <w:spacing w:val="-13"/>
          <w:sz w:val="20"/>
        </w:rPr>
        <w:t> </w:t>
      </w:r>
      <w:r>
        <w:rPr>
          <w:rFonts w:ascii="Calibri" w:hAnsi="Calibri"/>
          <w:sz w:val="20"/>
        </w:rPr>
        <w:t>profit</w:t>
      </w:r>
      <w:r>
        <w:rPr>
          <w:rFonts w:ascii="Calibri" w:hAnsi="Calibri"/>
          <w:spacing w:val="-10"/>
          <w:sz w:val="20"/>
        </w:rPr>
        <w:t> </w:t>
      </w:r>
      <w:r>
        <w:rPr>
          <w:rFonts w:ascii="Calibri" w:hAnsi="Calibri"/>
          <w:sz w:val="20"/>
        </w:rPr>
        <w:t>subsidiaries of nonprofit charters". Distributions at those for profit subsidiaries are not visible to the public. Their audits are not public. It is assumed that the money for distributions in excess of the company’s NET are being taken from Owner’s Equity.</w:t>
      </w:r>
    </w:p>
    <w:p>
      <w:pPr>
        <w:spacing w:after="0"/>
        <w:jc w:val="both"/>
        <w:rPr>
          <w:rFonts w:ascii="Calibri" w:hAnsi="Calibri"/>
          <w:sz w:val="20"/>
        </w:rPr>
        <w:sectPr>
          <w:pgSz w:w="12240" w:h="15840"/>
          <w:pgMar w:header="740" w:footer="1002" w:top="940" w:bottom="1200" w:left="1320" w:right="1320"/>
        </w:sectPr>
      </w:pPr>
    </w:p>
    <w:p>
      <w:pPr>
        <w:pStyle w:val="BodyText"/>
        <w:rPr>
          <w:rFonts w:ascii="Calibri"/>
          <w:sz w:val="20"/>
        </w:rPr>
      </w:pPr>
    </w:p>
    <w:p>
      <w:pPr>
        <w:pStyle w:val="BodyText"/>
        <w:spacing w:before="5"/>
        <w:rPr>
          <w:rFonts w:ascii="Calibri"/>
          <w:sz w:val="19"/>
        </w:rPr>
      </w:pPr>
    </w:p>
    <w:p>
      <w:pPr>
        <w:pStyle w:val="BodyText"/>
        <w:spacing w:line="276" w:lineRule="auto"/>
        <w:ind w:left="940" w:right="1009"/>
      </w:pPr>
      <w:r>
        <w:rPr>
          <w:b/>
          <w:i/>
        </w:rPr>
        <w:t>Key Recommendation: </w:t>
      </w:r>
      <w:r>
        <w:rPr/>
        <w:t>Charter school financial data needs to be shared and monitored by the Auditor General just as is done with district schools.</w:t>
      </w:r>
    </w:p>
    <w:p>
      <w:pPr>
        <w:pStyle w:val="BodyText"/>
        <w:spacing w:line="276" w:lineRule="auto" w:before="201"/>
        <w:ind w:left="220" w:right="215"/>
        <w:jc w:val="both"/>
      </w:pPr>
      <w:r>
        <w:rPr>
          <w:b/>
          <w:i/>
        </w:rPr>
        <w:t>Academic Underperformance</w:t>
      </w:r>
      <w:r>
        <w:rPr/>
        <w:t>: This financial behavior may have academic consequences (although academic performance is NOT the focus of these papers). Despite</w:t>
      </w:r>
      <w:r>
        <w:rPr>
          <w:spacing w:val="-8"/>
        </w:rPr>
        <w:t> </w:t>
      </w:r>
      <w:r>
        <w:rPr/>
        <w:t>the</w:t>
      </w:r>
      <w:r>
        <w:rPr>
          <w:spacing w:val="-11"/>
        </w:rPr>
        <w:t> </w:t>
      </w:r>
      <w:r>
        <w:rPr/>
        <w:t>highly</w:t>
      </w:r>
      <w:r>
        <w:rPr>
          <w:spacing w:val="-12"/>
        </w:rPr>
        <w:t> </w:t>
      </w:r>
      <w:r>
        <w:rPr/>
        <w:t>esteemed</w:t>
      </w:r>
      <w:r>
        <w:rPr>
          <w:spacing w:val="-8"/>
        </w:rPr>
        <w:t> </w:t>
      </w:r>
      <w:r>
        <w:rPr/>
        <w:t>academic</w:t>
      </w:r>
      <w:r>
        <w:rPr>
          <w:spacing w:val="-12"/>
        </w:rPr>
        <w:t> </w:t>
      </w:r>
      <w:r>
        <w:rPr/>
        <w:t>profile</w:t>
      </w:r>
      <w:r>
        <w:rPr>
          <w:spacing w:val="-11"/>
        </w:rPr>
        <w:t> </w:t>
      </w:r>
      <w:r>
        <w:rPr/>
        <w:t>of</w:t>
      </w:r>
      <w:r>
        <w:rPr>
          <w:spacing w:val="-7"/>
        </w:rPr>
        <w:t> </w:t>
      </w:r>
      <w:r>
        <w:rPr/>
        <w:t>a</w:t>
      </w:r>
      <w:r>
        <w:rPr>
          <w:spacing w:val="-11"/>
        </w:rPr>
        <w:t> </w:t>
      </w:r>
      <w:r>
        <w:rPr/>
        <w:t>few</w:t>
      </w:r>
      <w:r>
        <w:rPr>
          <w:spacing w:val="-12"/>
        </w:rPr>
        <w:t> </w:t>
      </w:r>
      <w:r>
        <w:rPr/>
        <w:t>charters,</w:t>
      </w:r>
      <w:r>
        <w:rPr>
          <w:spacing w:val="-9"/>
        </w:rPr>
        <w:t> </w:t>
      </w:r>
      <w:r>
        <w:rPr/>
        <w:t>the</w:t>
      </w:r>
      <w:r>
        <w:rPr>
          <w:spacing w:val="-8"/>
        </w:rPr>
        <w:t> </w:t>
      </w:r>
      <w:r>
        <w:rPr/>
        <w:t>charter</w:t>
      </w:r>
      <w:r>
        <w:rPr>
          <w:spacing w:val="-10"/>
        </w:rPr>
        <w:t> </w:t>
      </w:r>
      <w:r>
        <w:rPr/>
        <w:t>sector</w:t>
      </w:r>
      <w:r>
        <w:rPr>
          <w:spacing w:val="-10"/>
        </w:rPr>
        <w:t> </w:t>
      </w:r>
      <w:r>
        <w:rPr/>
        <w:t>overall underperforms academically relative to district schools for students of similar demographic backgrounds in the same area. Two independent studies found demographically similar students did just as well or better on average in public district schools.</w:t>
      </w:r>
    </w:p>
    <w:p>
      <w:pPr>
        <w:pStyle w:val="BodyText"/>
        <w:spacing w:line="276" w:lineRule="auto" w:before="201"/>
        <w:ind w:left="218" w:right="210"/>
        <w:jc w:val="both"/>
      </w:pPr>
      <w:r>
        <w:rPr>
          <w:b/>
          <w:i/>
        </w:rPr>
        <w:t>Reconciling Inconsistent Financials: </w:t>
      </w:r>
      <w:r>
        <w:rPr/>
        <w:t>Frequently numbers in charter school annual financial reports (AFRs), audits, and IRS filings do not reconcile even though they cover the same period. Some audits are inadequately detailed and done by out-of-state firms that may not be familiar with Arizona law. For instance, in 2014-2015, one charter holder that currently runs two schools reported a net gain in revenues less expenses of</w:t>
      </w:r>
    </w:p>
    <w:p>
      <w:pPr>
        <w:pStyle w:val="BodyText"/>
        <w:spacing w:line="276" w:lineRule="auto"/>
        <w:ind w:left="218" w:right="209"/>
        <w:jc w:val="both"/>
      </w:pPr>
      <w:r>
        <w:rPr/>
        <w:t>$369,000 to the Arizona Department of Education (ADE) and yet their audit noted a net loss of $134,000 to the Arizona State Board for Charter Schools (ASBCS) for the same year. The difference in total net assets reported in their audit and to the IRS were also dramatically</w:t>
      </w:r>
      <w:r>
        <w:rPr>
          <w:spacing w:val="-14"/>
        </w:rPr>
        <w:t> </w:t>
      </w:r>
      <w:r>
        <w:rPr/>
        <w:t>different</w:t>
      </w:r>
      <w:r>
        <w:rPr>
          <w:spacing w:val="-11"/>
        </w:rPr>
        <w:t> </w:t>
      </w:r>
      <w:r>
        <w:rPr/>
        <w:t>in</w:t>
      </w:r>
      <w:r>
        <w:rPr>
          <w:spacing w:val="-15"/>
        </w:rPr>
        <w:t> </w:t>
      </w:r>
      <w:r>
        <w:rPr/>
        <w:t>fiscal</w:t>
      </w:r>
      <w:r>
        <w:rPr>
          <w:spacing w:val="-12"/>
        </w:rPr>
        <w:t> </w:t>
      </w:r>
      <w:r>
        <w:rPr/>
        <w:t>2013-2014.</w:t>
      </w:r>
      <w:r>
        <w:rPr>
          <w:spacing w:val="-13"/>
        </w:rPr>
        <w:t> </w:t>
      </w:r>
      <w:r>
        <w:rPr/>
        <w:t>The</w:t>
      </w:r>
      <w:r>
        <w:rPr>
          <w:spacing w:val="-15"/>
        </w:rPr>
        <w:t> </w:t>
      </w:r>
      <w:r>
        <w:rPr/>
        <w:t>IRS</w:t>
      </w:r>
      <w:r>
        <w:rPr>
          <w:spacing w:val="-11"/>
        </w:rPr>
        <w:t> </w:t>
      </w:r>
      <w:r>
        <w:rPr/>
        <w:t>990</w:t>
      </w:r>
      <w:r>
        <w:rPr>
          <w:spacing w:val="-11"/>
        </w:rPr>
        <w:t> </w:t>
      </w:r>
      <w:r>
        <w:rPr/>
        <w:t>reported</w:t>
      </w:r>
      <w:r>
        <w:rPr>
          <w:spacing w:val="-13"/>
        </w:rPr>
        <w:t> </w:t>
      </w:r>
      <w:r>
        <w:rPr/>
        <w:t>$2.5</w:t>
      </w:r>
      <w:r>
        <w:rPr>
          <w:spacing w:val="-13"/>
        </w:rPr>
        <w:t> </w:t>
      </w:r>
      <w:r>
        <w:rPr/>
        <w:t>million</w:t>
      </w:r>
      <w:r>
        <w:rPr>
          <w:spacing w:val="-11"/>
        </w:rPr>
        <w:t> </w:t>
      </w:r>
      <w:r>
        <w:rPr/>
        <w:t>in</w:t>
      </w:r>
      <w:r>
        <w:rPr>
          <w:spacing w:val="-13"/>
        </w:rPr>
        <w:t> </w:t>
      </w:r>
      <w:r>
        <w:rPr/>
        <w:t>net</w:t>
      </w:r>
      <w:r>
        <w:rPr>
          <w:spacing w:val="-11"/>
        </w:rPr>
        <w:t> </w:t>
      </w:r>
      <w:r>
        <w:rPr/>
        <w:t>assets, while the audit indicated negative net assets of $2.6 million, a $5.1 million</w:t>
      </w:r>
      <w:r>
        <w:rPr>
          <w:spacing w:val="-36"/>
        </w:rPr>
        <w:t> </w:t>
      </w:r>
      <w:r>
        <w:rPr/>
        <w:t>difference!</w:t>
      </w:r>
    </w:p>
    <w:p>
      <w:pPr>
        <w:spacing w:line="278" w:lineRule="auto" w:before="199"/>
        <w:ind w:left="938" w:right="1065" w:firstLine="0"/>
        <w:jc w:val="left"/>
        <w:rPr>
          <w:i/>
          <w:sz w:val="24"/>
        </w:rPr>
      </w:pPr>
      <w:r>
        <w:rPr>
          <w:b/>
          <w:i/>
          <w:sz w:val="24"/>
        </w:rPr>
        <w:t>Key Recommendation: </w:t>
      </w:r>
      <w:r>
        <w:rPr>
          <w:i/>
          <w:sz w:val="24"/>
        </w:rPr>
        <w:t>Require a standard format for audits and ensure </w:t>
      </w:r>
      <w:r>
        <w:rPr>
          <w:i/>
          <w:sz w:val="24"/>
        </w:rPr>
        <w:t>that audits, AFRs and IRS 990 filings numerically align with one another.</w:t>
      </w:r>
    </w:p>
    <w:p>
      <w:pPr>
        <w:pStyle w:val="BodyText"/>
        <w:spacing w:before="2"/>
        <w:rPr>
          <w:i/>
          <w:sz w:val="14"/>
        </w:rPr>
      </w:pPr>
      <w:r>
        <w:rPr/>
        <w:pict>
          <v:shape style="position:absolute;margin-left:66.349998pt;margin-top:10.391488pt;width:479.3pt;height:97.7pt;mso-position-horizontal-relative:page;mso-position-vertical-relative:paragraph;z-index:1096;mso-wrap-distance-left:0;mso-wrap-distance-right:0" type="#_x0000_t202" filled="false" stroked="true" strokeweight=".48pt" strokecolor="#000000">
            <v:textbox inset="0,0,0,0">
              <w:txbxContent>
                <w:p>
                  <w:pPr>
                    <w:spacing w:line="276" w:lineRule="auto" w:before="10"/>
                    <w:ind w:left="108" w:right="105" w:firstLine="0"/>
                    <w:jc w:val="both"/>
                    <w:rPr>
                      <w:i/>
                      <w:sz w:val="24"/>
                    </w:rPr>
                  </w:pPr>
                  <w:r>
                    <w:rPr>
                      <w:i/>
                      <w:sz w:val="24"/>
                    </w:rPr>
                    <w:t>Notably,</w:t>
                  </w:r>
                  <w:r>
                    <w:rPr>
                      <w:i/>
                      <w:spacing w:val="-9"/>
                      <w:sz w:val="24"/>
                    </w:rPr>
                    <w:t> </w:t>
                  </w:r>
                  <w:r>
                    <w:rPr>
                      <w:i/>
                      <w:sz w:val="24"/>
                    </w:rPr>
                    <w:t>one-fourth</w:t>
                  </w:r>
                  <w:r>
                    <w:rPr>
                      <w:i/>
                      <w:spacing w:val="-8"/>
                      <w:sz w:val="24"/>
                    </w:rPr>
                    <w:t> </w:t>
                  </w:r>
                  <w:r>
                    <w:rPr>
                      <w:i/>
                      <w:sz w:val="24"/>
                    </w:rPr>
                    <w:t>of</w:t>
                  </w:r>
                  <w:r>
                    <w:rPr>
                      <w:i/>
                      <w:spacing w:val="-11"/>
                      <w:sz w:val="24"/>
                    </w:rPr>
                    <w:t> </w:t>
                  </w:r>
                  <w:r>
                    <w:rPr>
                      <w:i/>
                      <w:sz w:val="24"/>
                    </w:rPr>
                    <w:t>charters</w:t>
                  </w:r>
                  <w:r>
                    <w:rPr>
                      <w:i/>
                      <w:spacing w:val="-10"/>
                      <w:sz w:val="24"/>
                    </w:rPr>
                    <w:t> </w:t>
                  </w:r>
                  <w:r>
                    <w:rPr>
                      <w:i/>
                      <w:sz w:val="24"/>
                    </w:rPr>
                    <w:t>are</w:t>
                  </w:r>
                  <w:r>
                    <w:rPr>
                      <w:i/>
                      <w:spacing w:val="-9"/>
                      <w:sz w:val="24"/>
                    </w:rPr>
                    <w:t> </w:t>
                  </w:r>
                  <w:r>
                    <w:rPr>
                      <w:i/>
                      <w:sz w:val="24"/>
                    </w:rPr>
                    <w:t>providing</w:t>
                  </w:r>
                  <w:r>
                    <w:rPr>
                      <w:i/>
                      <w:spacing w:val="-8"/>
                      <w:sz w:val="24"/>
                    </w:rPr>
                    <w:t> </w:t>
                  </w:r>
                  <w:r>
                    <w:rPr>
                      <w:i/>
                      <w:sz w:val="24"/>
                    </w:rPr>
                    <w:t>the</w:t>
                  </w:r>
                  <w:r>
                    <w:rPr>
                      <w:i/>
                      <w:spacing w:val="-8"/>
                      <w:sz w:val="24"/>
                    </w:rPr>
                    <w:t> </w:t>
                  </w:r>
                  <w:r>
                    <w:rPr>
                      <w:i/>
                      <w:sz w:val="24"/>
                    </w:rPr>
                    <w:t>opportunities</w:t>
                  </w:r>
                  <w:r>
                    <w:rPr>
                      <w:i/>
                      <w:spacing w:val="-9"/>
                      <w:sz w:val="24"/>
                    </w:rPr>
                    <w:t> </w:t>
                  </w:r>
                  <w:r>
                    <w:rPr>
                      <w:i/>
                      <w:sz w:val="24"/>
                    </w:rPr>
                    <w:t>promised</w:t>
                  </w:r>
                  <w:r>
                    <w:rPr>
                      <w:i/>
                      <w:spacing w:val="-8"/>
                      <w:sz w:val="24"/>
                    </w:rPr>
                    <w:t> </w:t>
                  </w:r>
                  <w:r>
                    <w:rPr>
                      <w:i/>
                      <w:sz w:val="24"/>
                    </w:rPr>
                    <w:t>by</w:t>
                  </w:r>
                  <w:r>
                    <w:rPr>
                      <w:i/>
                      <w:spacing w:val="-9"/>
                      <w:sz w:val="24"/>
                    </w:rPr>
                    <w:t> </w:t>
                  </w:r>
                  <w:r>
                    <w:rPr>
                      <w:i/>
                      <w:sz w:val="24"/>
                    </w:rPr>
                    <w:t>their</w:t>
                  </w:r>
                  <w:r>
                    <w:rPr>
                      <w:i/>
                      <w:spacing w:val="-10"/>
                      <w:sz w:val="24"/>
                    </w:rPr>
                    <w:t> </w:t>
                  </w:r>
                  <w:r>
                    <w:rPr>
                      <w:i/>
                      <w:sz w:val="24"/>
                    </w:rPr>
                    <w:t>founding </w:t>
                  </w:r>
                  <w:r>
                    <w:rPr>
                      <w:i/>
                      <w:sz w:val="24"/>
                    </w:rPr>
                    <w:t>legislation.</w:t>
                  </w:r>
                  <w:r>
                    <w:rPr>
                      <w:i/>
                      <w:spacing w:val="-5"/>
                      <w:sz w:val="24"/>
                    </w:rPr>
                    <w:t> </w:t>
                  </w:r>
                  <w:r>
                    <w:rPr>
                      <w:i/>
                      <w:sz w:val="24"/>
                    </w:rPr>
                    <w:t>In</w:t>
                  </w:r>
                  <w:r>
                    <w:rPr>
                      <w:i/>
                      <w:spacing w:val="-3"/>
                      <w:sz w:val="24"/>
                    </w:rPr>
                    <w:t> </w:t>
                  </w:r>
                  <w:r>
                    <w:rPr>
                      <w:i/>
                      <w:sz w:val="24"/>
                    </w:rPr>
                    <w:t>the</w:t>
                  </w:r>
                  <w:r>
                    <w:rPr>
                      <w:i/>
                      <w:spacing w:val="-5"/>
                      <w:sz w:val="24"/>
                    </w:rPr>
                    <w:t> </w:t>
                  </w:r>
                  <w:r>
                    <w:rPr>
                      <w:i/>
                      <w:sz w:val="24"/>
                    </w:rPr>
                    <w:t>absence</w:t>
                  </w:r>
                  <w:r>
                    <w:rPr>
                      <w:i/>
                      <w:spacing w:val="-5"/>
                      <w:sz w:val="24"/>
                    </w:rPr>
                    <w:t> </w:t>
                  </w:r>
                  <w:r>
                    <w:rPr>
                      <w:i/>
                      <w:sz w:val="24"/>
                    </w:rPr>
                    <w:t>of</w:t>
                  </w:r>
                  <w:r>
                    <w:rPr>
                      <w:i/>
                      <w:spacing w:val="-3"/>
                      <w:sz w:val="24"/>
                    </w:rPr>
                    <w:t> </w:t>
                  </w:r>
                  <w:r>
                    <w:rPr>
                      <w:i/>
                      <w:sz w:val="24"/>
                    </w:rPr>
                    <w:t>sufficient</w:t>
                  </w:r>
                  <w:r>
                    <w:rPr>
                      <w:i/>
                      <w:spacing w:val="-5"/>
                      <w:sz w:val="24"/>
                    </w:rPr>
                    <w:t> </w:t>
                  </w:r>
                  <w:r>
                    <w:rPr>
                      <w:i/>
                      <w:sz w:val="24"/>
                    </w:rPr>
                    <w:t>financial</w:t>
                  </w:r>
                  <w:r>
                    <w:rPr>
                      <w:i/>
                      <w:spacing w:val="-3"/>
                      <w:sz w:val="24"/>
                    </w:rPr>
                    <w:t> </w:t>
                  </w:r>
                  <w:r>
                    <w:rPr>
                      <w:i/>
                      <w:sz w:val="24"/>
                    </w:rPr>
                    <w:t>oversight,</w:t>
                  </w:r>
                  <w:r>
                    <w:rPr>
                      <w:i/>
                      <w:spacing w:val="-5"/>
                      <w:sz w:val="24"/>
                    </w:rPr>
                    <w:t> </w:t>
                  </w:r>
                  <w:r>
                    <w:rPr>
                      <w:i/>
                      <w:sz w:val="24"/>
                    </w:rPr>
                    <w:t>they</w:t>
                  </w:r>
                  <w:r>
                    <w:rPr>
                      <w:i/>
                      <w:spacing w:val="-5"/>
                      <w:sz w:val="24"/>
                    </w:rPr>
                    <w:t> </w:t>
                  </w:r>
                  <w:r>
                    <w:rPr>
                      <w:i/>
                      <w:sz w:val="24"/>
                    </w:rPr>
                    <w:t>do</w:t>
                  </w:r>
                  <w:r>
                    <w:rPr>
                      <w:i/>
                      <w:spacing w:val="-5"/>
                      <w:sz w:val="24"/>
                    </w:rPr>
                    <w:t> </w:t>
                  </w:r>
                  <w:r>
                    <w:rPr>
                      <w:i/>
                      <w:sz w:val="24"/>
                    </w:rPr>
                    <w:t>the</w:t>
                  </w:r>
                  <w:r>
                    <w:rPr>
                      <w:i/>
                      <w:spacing w:val="-3"/>
                      <w:sz w:val="24"/>
                    </w:rPr>
                    <w:t> </w:t>
                  </w:r>
                  <w:r>
                    <w:rPr>
                      <w:i/>
                      <w:sz w:val="24"/>
                    </w:rPr>
                    <w:t>right</w:t>
                  </w:r>
                  <w:r>
                    <w:rPr>
                      <w:i/>
                      <w:spacing w:val="-5"/>
                      <w:sz w:val="24"/>
                    </w:rPr>
                    <w:t> </w:t>
                  </w:r>
                  <w:r>
                    <w:rPr>
                      <w:i/>
                      <w:sz w:val="24"/>
                    </w:rPr>
                    <w:t>thing.</w:t>
                  </w:r>
                  <w:r>
                    <w:rPr>
                      <w:i/>
                      <w:spacing w:val="-5"/>
                      <w:sz w:val="24"/>
                    </w:rPr>
                    <w:t> </w:t>
                  </w:r>
                  <w:r>
                    <w:rPr>
                      <w:i/>
                      <w:sz w:val="24"/>
                    </w:rPr>
                    <w:t>A</w:t>
                  </w:r>
                  <w:r>
                    <w:rPr>
                      <w:i/>
                      <w:spacing w:val="-5"/>
                      <w:sz w:val="24"/>
                    </w:rPr>
                    <w:t> </w:t>
                  </w:r>
                  <w:r>
                    <w:rPr>
                      <w:i/>
                      <w:sz w:val="24"/>
                    </w:rPr>
                    <w:t>large charter that is an exemplar of this type of organization is the Arizona Agribusiness and Equine Centers. These charters should be emulated and replicated. Their business models are financially sound and ethical. They also treat their teachers fairly and as professionals.</w:t>
                  </w:r>
                </w:p>
              </w:txbxContent>
            </v:textbox>
            <v:stroke dashstyle="solid"/>
            <w10:wrap type="topAndBottom"/>
          </v:shape>
        </w:pict>
      </w:r>
    </w:p>
    <w:p>
      <w:pPr>
        <w:pStyle w:val="BodyText"/>
        <w:spacing w:line="276" w:lineRule="auto" w:before="149"/>
        <w:ind w:left="220" w:right="212"/>
        <w:jc w:val="both"/>
      </w:pPr>
      <w:r>
        <w:rPr/>
        <w:t>This policy report and the policy reports that will follow are designed to give information to the public and policymakers. The information should serve as a timely financial warning. These policy reports are informed by three years of exhaustive research and a forensic accounting of the data including a meta-analysis of the most comprehensive financial data on Arizona’s charter school sector. Sources include AFRs, audits, Federal IRS</w:t>
      </w:r>
      <w:r>
        <w:rPr>
          <w:spacing w:val="-16"/>
        </w:rPr>
        <w:t> </w:t>
      </w:r>
      <w:r>
        <w:rPr/>
        <w:t>990s</w:t>
      </w:r>
      <w:r>
        <w:rPr>
          <w:spacing w:val="-19"/>
        </w:rPr>
        <w:t> </w:t>
      </w:r>
      <w:r>
        <w:rPr/>
        <w:t>for</w:t>
      </w:r>
      <w:r>
        <w:rPr>
          <w:spacing w:val="-17"/>
        </w:rPr>
        <w:t> </w:t>
      </w:r>
      <w:r>
        <w:rPr/>
        <w:t>nonprofits.</w:t>
      </w:r>
      <w:r>
        <w:rPr>
          <w:spacing w:val="-16"/>
        </w:rPr>
        <w:t> </w:t>
      </w:r>
      <w:r>
        <w:rPr/>
        <w:t>The</w:t>
      </w:r>
      <w:r>
        <w:rPr>
          <w:spacing w:val="-16"/>
        </w:rPr>
        <w:t> </w:t>
      </w:r>
      <w:r>
        <w:rPr/>
        <w:t>ASBCS</w:t>
      </w:r>
      <w:r>
        <w:rPr>
          <w:spacing w:val="-16"/>
        </w:rPr>
        <w:t> </w:t>
      </w:r>
      <w:r>
        <w:rPr/>
        <w:t>and</w:t>
      </w:r>
      <w:r>
        <w:rPr>
          <w:spacing w:val="-16"/>
        </w:rPr>
        <w:t> </w:t>
      </w:r>
      <w:r>
        <w:rPr/>
        <w:t>the</w:t>
      </w:r>
      <w:r>
        <w:rPr>
          <w:spacing w:val="-16"/>
        </w:rPr>
        <w:t> </w:t>
      </w:r>
      <w:r>
        <w:rPr/>
        <w:t>ADE</w:t>
      </w:r>
      <w:r>
        <w:rPr>
          <w:spacing w:val="-16"/>
        </w:rPr>
        <w:t> </w:t>
      </w:r>
      <w:r>
        <w:rPr/>
        <w:t>were</w:t>
      </w:r>
      <w:r>
        <w:rPr>
          <w:spacing w:val="-16"/>
        </w:rPr>
        <w:t> </w:t>
      </w:r>
      <w:r>
        <w:rPr/>
        <w:t>consulted</w:t>
      </w:r>
      <w:r>
        <w:rPr>
          <w:spacing w:val="-16"/>
        </w:rPr>
        <w:t> </w:t>
      </w:r>
      <w:r>
        <w:rPr/>
        <w:t>and</w:t>
      </w:r>
      <w:r>
        <w:rPr>
          <w:spacing w:val="-18"/>
        </w:rPr>
        <w:t> </w:t>
      </w:r>
      <w:r>
        <w:rPr/>
        <w:t>were</w:t>
      </w:r>
      <w:r>
        <w:rPr>
          <w:spacing w:val="-16"/>
        </w:rPr>
        <w:t> </w:t>
      </w:r>
      <w:r>
        <w:rPr/>
        <w:t>helpful</w:t>
      </w:r>
      <w:r>
        <w:rPr>
          <w:spacing w:val="-17"/>
        </w:rPr>
        <w:t> </w:t>
      </w:r>
      <w:r>
        <w:rPr/>
        <w:t>during the information gathering phases of this effort. Their assistance was greatly appreciated. Preliminary findings were shared with these</w:t>
      </w:r>
      <w:r>
        <w:rPr>
          <w:spacing w:val="-17"/>
        </w:rPr>
        <w:t> </w:t>
      </w:r>
      <w:r>
        <w:rPr/>
        <w:t>agencies.</w:t>
      </w:r>
    </w:p>
    <w:p>
      <w:pPr>
        <w:spacing w:after="0" w:line="276" w:lineRule="auto"/>
        <w:jc w:val="both"/>
        <w:sectPr>
          <w:pgSz w:w="12240" w:h="15840"/>
          <w:pgMar w:header="740" w:footer="1002" w:top="940" w:bottom="1200" w:left="1220" w:right="1220"/>
        </w:sectPr>
      </w:pPr>
    </w:p>
    <w:p>
      <w:pPr>
        <w:pStyle w:val="BodyText"/>
        <w:rPr>
          <w:sz w:val="20"/>
        </w:rPr>
      </w:pPr>
    </w:p>
    <w:p>
      <w:pPr>
        <w:pStyle w:val="BodyText"/>
        <w:spacing w:before="7"/>
        <w:rPr>
          <w:sz w:val="21"/>
        </w:rPr>
      </w:pPr>
    </w:p>
    <w:p>
      <w:pPr>
        <w:pStyle w:val="BodyText"/>
        <w:spacing w:line="278" w:lineRule="auto"/>
        <w:ind w:left="100" w:right="122"/>
        <w:jc w:val="both"/>
      </w:pPr>
      <w:r>
        <w:rPr/>
        <w:t>Each section of this report offers specific recommendations designed to improve information for parents, achievement for students, and accountability to taxpayers.</w:t>
      </w:r>
    </w:p>
    <w:p>
      <w:pPr>
        <w:pStyle w:val="BodyText"/>
        <w:spacing w:line="276" w:lineRule="auto" w:before="199"/>
        <w:ind w:left="100" w:right="112"/>
        <w:jc w:val="both"/>
      </w:pPr>
      <w:r>
        <w:rPr/>
        <w:t>The next in this series of policy reports, due to be released in the fall, will look more carefully</w:t>
      </w:r>
      <w:r>
        <w:rPr>
          <w:spacing w:val="-20"/>
        </w:rPr>
        <w:t> </w:t>
      </w:r>
      <w:r>
        <w:rPr/>
        <w:t>at</w:t>
      </w:r>
      <w:r>
        <w:rPr>
          <w:spacing w:val="-17"/>
        </w:rPr>
        <w:t> </w:t>
      </w:r>
      <w:r>
        <w:rPr/>
        <w:t>red</w:t>
      </w:r>
      <w:r>
        <w:rPr>
          <w:spacing w:val="-19"/>
        </w:rPr>
        <w:t> </w:t>
      </w:r>
      <w:r>
        <w:rPr/>
        <w:t>flags</w:t>
      </w:r>
      <w:r>
        <w:rPr>
          <w:spacing w:val="-17"/>
        </w:rPr>
        <w:t> </w:t>
      </w:r>
      <w:r>
        <w:rPr/>
        <w:t>regarding</w:t>
      </w:r>
      <w:r>
        <w:rPr>
          <w:spacing w:val="-19"/>
        </w:rPr>
        <w:t> </w:t>
      </w:r>
      <w:r>
        <w:rPr/>
        <w:t>issues</w:t>
      </w:r>
      <w:r>
        <w:rPr>
          <w:spacing w:val="-17"/>
        </w:rPr>
        <w:t> </w:t>
      </w:r>
      <w:r>
        <w:rPr/>
        <w:t>with</w:t>
      </w:r>
      <w:r>
        <w:rPr>
          <w:spacing w:val="-17"/>
        </w:rPr>
        <w:t> </w:t>
      </w:r>
      <w:r>
        <w:rPr/>
        <w:t>financial</w:t>
      </w:r>
      <w:r>
        <w:rPr>
          <w:spacing w:val="-17"/>
        </w:rPr>
        <w:t> </w:t>
      </w:r>
      <w:r>
        <w:rPr/>
        <w:t>management,</w:t>
      </w:r>
      <w:r>
        <w:rPr>
          <w:spacing w:val="-17"/>
        </w:rPr>
        <w:t> </w:t>
      </w:r>
      <w:r>
        <w:rPr/>
        <w:t>growing</w:t>
      </w:r>
      <w:r>
        <w:rPr>
          <w:spacing w:val="-19"/>
        </w:rPr>
        <w:t> </w:t>
      </w:r>
      <w:r>
        <w:rPr/>
        <w:t>debt</w:t>
      </w:r>
      <w:r>
        <w:rPr>
          <w:spacing w:val="-17"/>
        </w:rPr>
        <w:t> </w:t>
      </w:r>
      <w:r>
        <w:rPr/>
        <w:t>with</w:t>
      </w:r>
      <w:r>
        <w:rPr>
          <w:spacing w:val="-17"/>
        </w:rPr>
        <w:t> </w:t>
      </w:r>
      <w:r>
        <w:rPr/>
        <w:t>many charters, and whether current business practices are appropriate and sustainable. A failure</w:t>
      </w:r>
      <w:r>
        <w:rPr>
          <w:spacing w:val="-16"/>
        </w:rPr>
        <w:t> </w:t>
      </w:r>
      <w:r>
        <w:rPr/>
        <w:t>rate</w:t>
      </w:r>
      <w:r>
        <w:rPr>
          <w:spacing w:val="-15"/>
        </w:rPr>
        <w:t> </w:t>
      </w:r>
      <w:r>
        <w:rPr/>
        <w:t>of</w:t>
      </w:r>
      <w:r>
        <w:rPr>
          <w:spacing w:val="-16"/>
        </w:rPr>
        <w:t> </w:t>
      </w:r>
      <w:r>
        <w:rPr/>
        <w:t>42%</w:t>
      </w:r>
      <w:r>
        <w:rPr>
          <w:spacing w:val="-16"/>
        </w:rPr>
        <w:t> </w:t>
      </w:r>
      <w:r>
        <w:rPr/>
        <w:t>since</w:t>
      </w:r>
      <w:r>
        <w:rPr>
          <w:spacing w:val="-16"/>
        </w:rPr>
        <w:t> </w:t>
      </w:r>
      <w:r>
        <w:rPr/>
        <w:t>1994</w:t>
      </w:r>
      <w:r>
        <w:rPr>
          <w:spacing w:val="-16"/>
        </w:rPr>
        <w:t> </w:t>
      </w:r>
      <w:r>
        <w:rPr/>
        <w:t>is</w:t>
      </w:r>
      <w:r>
        <w:rPr>
          <w:spacing w:val="-17"/>
        </w:rPr>
        <w:t> </w:t>
      </w:r>
      <w:r>
        <w:rPr/>
        <w:t>one</w:t>
      </w:r>
      <w:r>
        <w:rPr>
          <w:spacing w:val="-16"/>
        </w:rPr>
        <w:t> </w:t>
      </w:r>
      <w:r>
        <w:rPr/>
        <w:t>symptom</w:t>
      </w:r>
      <w:r>
        <w:rPr>
          <w:spacing w:val="-17"/>
        </w:rPr>
        <w:t> </w:t>
      </w:r>
      <w:r>
        <w:rPr/>
        <w:t>that</w:t>
      </w:r>
      <w:r>
        <w:rPr>
          <w:spacing w:val="-16"/>
        </w:rPr>
        <w:t> </w:t>
      </w:r>
      <w:r>
        <w:rPr/>
        <w:t>charter</w:t>
      </w:r>
      <w:r>
        <w:rPr>
          <w:spacing w:val="-19"/>
        </w:rPr>
        <w:t> </w:t>
      </w:r>
      <w:r>
        <w:rPr/>
        <w:t>finances</w:t>
      </w:r>
      <w:r>
        <w:rPr>
          <w:spacing w:val="-16"/>
        </w:rPr>
        <w:t> </w:t>
      </w:r>
      <w:r>
        <w:rPr/>
        <w:t>and</w:t>
      </w:r>
      <w:r>
        <w:rPr>
          <w:spacing w:val="-16"/>
        </w:rPr>
        <w:t> </w:t>
      </w:r>
      <w:r>
        <w:rPr/>
        <w:t>governance</w:t>
      </w:r>
      <w:r>
        <w:rPr>
          <w:spacing w:val="-16"/>
        </w:rPr>
        <w:t> </w:t>
      </w:r>
      <w:r>
        <w:rPr/>
        <w:t>need attention.</w:t>
      </w:r>
    </w:p>
    <w:p>
      <w:pPr>
        <w:pStyle w:val="BodyText"/>
        <w:spacing w:line="276" w:lineRule="auto" w:before="197"/>
        <w:ind w:left="100" w:right="111"/>
        <w:jc w:val="both"/>
      </w:pPr>
      <w:r>
        <w:rPr/>
        <w:t>In</w:t>
      </w:r>
      <w:r>
        <w:rPr>
          <w:spacing w:val="-13"/>
        </w:rPr>
        <w:t> </w:t>
      </w:r>
      <w:r>
        <w:rPr/>
        <w:t>the</w:t>
      </w:r>
      <w:r>
        <w:rPr>
          <w:spacing w:val="-15"/>
        </w:rPr>
        <w:t> </w:t>
      </w:r>
      <w:r>
        <w:rPr/>
        <w:t>fiscal</w:t>
      </w:r>
      <w:r>
        <w:rPr>
          <w:spacing w:val="-14"/>
        </w:rPr>
        <w:t> </w:t>
      </w:r>
      <w:r>
        <w:rPr/>
        <w:t>year</w:t>
      </w:r>
      <w:r>
        <w:rPr>
          <w:spacing w:val="-14"/>
        </w:rPr>
        <w:t> </w:t>
      </w:r>
      <w:r>
        <w:rPr/>
        <w:t>ending</w:t>
      </w:r>
      <w:r>
        <w:rPr>
          <w:spacing w:val="-14"/>
        </w:rPr>
        <w:t> </w:t>
      </w:r>
      <w:r>
        <w:rPr/>
        <w:t>June</w:t>
      </w:r>
      <w:r>
        <w:rPr>
          <w:spacing w:val="-13"/>
        </w:rPr>
        <w:t> </w:t>
      </w:r>
      <w:r>
        <w:rPr/>
        <w:t>30,</w:t>
      </w:r>
      <w:r>
        <w:rPr>
          <w:spacing w:val="-15"/>
        </w:rPr>
        <w:t> </w:t>
      </w:r>
      <w:r>
        <w:rPr/>
        <w:t>2015,</w:t>
      </w:r>
      <w:r>
        <w:rPr>
          <w:spacing w:val="-13"/>
        </w:rPr>
        <w:t> </w:t>
      </w:r>
      <w:r>
        <w:rPr/>
        <w:t>a</w:t>
      </w:r>
      <w:r>
        <w:rPr>
          <w:spacing w:val="-15"/>
        </w:rPr>
        <w:t> </w:t>
      </w:r>
      <w:r>
        <w:rPr/>
        <w:t>total</w:t>
      </w:r>
      <w:r>
        <w:rPr>
          <w:spacing w:val="-16"/>
        </w:rPr>
        <w:t> </w:t>
      </w:r>
      <w:r>
        <w:rPr/>
        <w:t>of</w:t>
      </w:r>
      <w:r>
        <w:rPr>
          <w:spacing w:val="-11"/>
        </w:rPr>
        <w:t> </w:t>
      </w:r>
      <w:r>
        <w:rPr/>
        <w:t>138</w:t>
      </w:r>
      <w:r>
        <w:rPr>
          <w:spacing w:val="-13"/>
        </w:rPr>
        <w:t> </w:t>
      </w:r>
      <w:r>
        <w:rPr/>
        <w:t>out</w:t>
      </w:r>
      <w:r>
        <w:rPr>
          <w:spacing w:val="-13"/>
        </w:rPr>
        <w:t> </w:t>
      </w:r>
      <w:r>
        <w:rPr/>
        <w:t>of</w:t>
      </w:r>
      <w:r>
        <w:rPr>
          <w:spacing w:val="-11"/>
        </w:rPr>
        <w:t> </w:t>
      </w:r>
      <w:r>
        <w:rPr/>
        <w:t>407</w:t>
      </w:r>
      <w:r>
        <w:rPr>
          <w:spacing w:val="-13"/>
        </w:rPr>
        <w:t> </w:t>
      </w:r>
      <w:r>
        <w:rPr/>
        <w:t>charters</w:t>
      </w:r>
      <w:hyperlink w:history="true" w:anchor="_bookmark4">
        <w:r>
          <w:rPr>
            <w:position w:val="8"/>
            <w:sz w:val="16"/>
          </w:rPr>
          <w:t>3</w:t>
        </w:r>
        <w:r>
          <w:rPr>
            <w:spacing w:val="-8"/>
            <w:position w:val="8"/>
            <w:sz w:val="16"/>
          </w:rPr>
          <w:t> </w:t>
        </w:r>
      </w:hyperlink>
      <w:r>
        <w:rPr/>
        <w:t>DID</w:t>
      </w:r>
      <w:r>
        <w:rPr>
          <w:spacing w:val="-14"/>
        </w:rPr>
        <w:t> </w:t>
      </w:r>
      <w:r>
        <w:rPr/>
        <w:t>NOT</w:t>
      </w:r>
      <w:r>
        <w:rPr>
          <w:spacing w:val="-12"/>
        </w:rPr>
        <w:t> </w:t>
      </w:r>
      <w:r>
        <w:rPr/>
        <w:t>MEET the</w:t>
      </w:r>
      <w:r>
        <w:rPr>
          <w:spacing w:val="-6"/>
        </w:rPr>
        <w:t> </w:t>
      </w:r>
      <w:r>
        <w:rPr/>
        <w:t>ASBCS</w:t>
      </w:r>
      <w:r>
        <w:rPr>
          <w:spacing w:val="-7"/>
        </w:rPr>
        <w:t> </w:t>
      </w:r>
      <w:r>
        <w:rPr/>
        <w:t>Financial</w:t>
      </w:r>
      <w:r>
        <w:rPr>
          <w:spacing w:val="-10"/>
        </w:rPr>
        <w:t> </w:t>
      </w:r>
      <w:r>
        <w:rPr/>
        <w:t>Performance</w:t>
      </w:r>
      <w:r>
        <w:rPr>
          <w:spacing w:val="-6"/>
        </w:rPr>
        <w:t> </w:t>
      </w:r>
      <w:r>
        <w:rPr/>
        <w:t>Recommendations.</w:t>
      </w:r>
      <w:r>
        <w:rPr>
          <w:spacing w:val="-6"/>
        </w:rPr>
        <w:t> </w:t>
      </w:r>
      <w:r>
        <w:rPr/>
        <w:t>An</w:t>
      </w:r>
      <w:r>
        <w:rPr>
          <w:spacing w:val="-6"/>
        </w:rPr>
        <w:t> </w:t>
      </w:r>
      <w:r>
        <w:rPr/>
        <w:t>additional</w:t>
      </w:r>
      <w:r>
        <w:rPr>
          <w:spacing w:val="-5"/>
        </w:rPr>
        <w:t> </w:t>
      </w:r>
      <w:r>
        <w:rPr/>
        <w:t>90</w:t>
      </w:r>
      <w:r>
        <w:rPr>
          <w:spacing w:val="-4"/>
        </w:rPr>
        <w:t> </w:t>
      </w:r>
      <w:r>
        <w:rPr/>
        <w:t>DID</w:t>
      </w:r>
      <w:r>
        <w:rPr>
          <w:spacing w:val="-7"/>
        </w:rPr>
        <w:t> </w:t>
      </w:r>
      <w:r>
        <w:rPr/>
        <w:t>NOT</w:t>
      </w:r>
      <w:r>
        <w:rPr>
          <w:spacing w:val="-5"/>
        </w:rPr>
        <w:t> </w:t>
      </w:r>
      <w:r>
        <w:rPr/>
        <w:t>MEET the</w:t>
      </w:r>
      <w:r>
        <w:rPr>
          <w:spacing w:val="-11"/>
        </w:rPr>
        <w:t> </w:t>
      </w:r>
      <w:r>
        <w:rPr/>
        <w:t>Cash</w:t>
      </w:r>
      <w:r>
        <w:rPr>
          <w:spacing w:val="-10"/>
        </w:rPr>
        <w:t> </w:t>
      </w:r>
      <w:r>
        <w:rPr/>
        <w:t>Flow</w:t>
      </w:r>
      <w:r>
        <w:rPr>
          <w:spacing w:val="-12"/>
        </w:rPr>
        <w:t> </w:t>
      </w:r>
      <w:r>
        <w:rPr/>
        <w:t>standard.</w:t>
      </w:r>
      <w:r>
        <w:rPr>
          <w:spacing w:val="-9"/>
        </w:rPr>
        <w:t> </w:t>
      </w:r>
      <w:r>
        <w:rPr/>
        <w:t>Cash</w:t>
      </w:r>
      <w:r>
        <w:rPr>
          <w:spacing w:val="-8"/>
        </w:rPr>
        <w:t> </w:t>
      </w:r>
      <w:r>
        <w:rPr/>
        <w:t>Flow,</w:t>
      </w:r>
      <w:r>
        <w:rPr>
          <w:spacing w:val="-9"/>
        </w:rPr>
        <w:t> </w:t>
      </w:r>
      <w:r>
        <w:rPr/>
        <w:t>as</w:t>
      </w:r>
      <w:r>
        <w:rPr>
          <w:spacing w:val="-12"/>
        </w:rPr>
        <w:t> </w:t>
      </w:r>
      <w:r>
        <w:rPr/>
        <w:t>any</w:t>
      </w:r>
      <w:r>
        <w:rPr>
          <w:spacing w:val="-12"/>
        </w:rPr>
        <w:t> </w:t>
      </w:r>
      <w:r>
        <w:rPr/>
        <w:t>business</w:t>
      </w:r>
      <w:r>
        <w:rPr>
          <w:spacing w:val="-12"/>
        </w:rPr>
        <w:t> </w:t>
      </w:r>
      <w:r>
        <w:rPr/>
        <w:t>owner</w:t>
      </w:r>
      <w:r>
        <w:rPr>
          <w:spacing w:val="-10"/>
        </w:rPr>
        <w:t> </w:t>
      </w:r>
      <w:r>
        <w:rPr/>
        <w:t>can</w:t>
      </w:r>
      <w:r>
        <w:rPr>
          <w:spacing w:val="-11"/>
        </w:rPr>
        <w:t> </w:t>
      </w:r>
      <w:r>
        <w:rPr/>
        <w:t>assert,</w:t>
      </w:r>
      <w:r>
        <w:rPr>
          <w:spacing w:val="-9"/>
        </w:rPr>
        <w:t> </w:t>
      </w:r>
      <w:r>
        <w:rPr/>
        <w:t>is</w:t>
      </w:r>
      <w:r>
        <w:rPr>
          <w:spacing w:val="-12"/>
        </w:rPr>
        <w:t> </w:t>
      </w:r>
      <w:r>
        <w:rPr/>
        <w:t>a</w:t>
      </w:r>
      <w:r>
        <w:rPr>
          <w:spacing w:val="-11"/>
        </w:rPr>
        <w:t> </w:t>
      </w:r>
      <w:r>
        <w:rPr/>
        <w:t>canary</w:t>
      </w:r>
      <w:r>
        <w:rPr>
          <w:spacing w:val="-12"/>
        </w:rPr>
        <w:t> </w:t>
      </w:r>
      <w:r>
        <w:rPr/>
        <w:t>in</w:t>
      </w:r>
      <w:r>
        <w:rPr>
          <w:spacing w:val="-9"/>
        </w:rPr>
        <w:t> </w:t>
      </w:r>
      <w:r>
        <w:rPr/>
        <w:t>the coal mine. It is a red flag indicative of financial</w:t>
      </w:r>
      <w:r>
        <w:rPr>
          <w:spacing w:val="-44"/>
        </w:rPr>
        <w:t> </w:t>
      </w:r>
      <w:r>
        <w:rPr/>
        <w:t>issues.</w:t>
      </w:r>
    </w:p>
    <w:p>
      <w:pPr>
        <w:pStyle w:val="BodyText"/>
        <w:spacing w:line="276" w:lineRule="auto" w:before="202"/>
        <w:ind w:left="100" w:right="114"/>
        <w:jc w:val="both"/>
      </w:pPr>
      <w:r>
        <w:rPr/>
        <w:t>The third report to be released by the end of the year will be an in depth look at teacher compensation, benefits and issues related to travel costs for school personnel which, in many cases, exceed what much larger public districts expends for the same item.</w:t>
      </w:r>
    </w:p>
    <w:p>
      <w:pPr>
        <w:pStyle w:val="BodyText"/>
        <w:spacing w:line="276" w:lineRule="auto" w:before="204"/>
        <w:ind w:left="100" w:right="109"/>
        <w:jc w:val="both"/>
      </w:pPr>
      <w:r>
        <w:rPr/>
        <w:t>The</w:t>
      </w:r>
      <w:r>
        <w:rPr>
          <w:spacing w:val="-20"/>
        </w:rPr>
        <w:t> </w:t>
      </w:r>
      <w:r>
        <w:rPr/>
        <w:t>findings</w:t>
      </w:r>
      <w:r>
        <w:rPr>
          <w:spacing w:val="-18"/>
        </w:rPr>
        <w:t> </w:t>
      </w:r>
      <w:r>
        <w:rPr/>
        <w:t>in</w:t>
      </w:r>
      <w:r>
        <w:rPr>
          <w:spacing w:val="-18"/>
        </w:rPr>
        <w:t> </w:t>
      </w:r>
      <w:r>
        <w:rPr/>
        <w:t>this</w:t>
      </w:r>
      <w:r>
        <w:rPr>
          <w:spacing w:val="-19"/>
        </w:rPr>
        <w:t> </w:t>
      </w:r>
      <w:r>
        <w:rPr/>
        <w:t>series</w:t>
      </w:r>
      <w:r>
        <w:rPr>
          <w:spacing w:val="-19"/>
        </w:rPr>
        <w:t> </w:t>
      </w:r>
      <w:r>
        <w:rPr/>
        <w:t>of</w:t>
      </w:r>
      <w:r>
        <w:rPr>
          <w:spacing w:val="-19"/>
        </w:rPr>
        <w:t> </w:t>
      </w:r>
      <w:r>
        <w:rPr/>
        <w:t>policy</w:t>
      </w:r>
      <w:r>
        <w:rPr>
          <w:spacing w:val="-21"/>
        </w:rPr>
        <w:t> </w:t>
      </w:r>
      <w:r>
        <w:rPr/>
        <w:t>reports</w:t>
      </w:r>
      <w:r>
        <w:rPr>
          <w:spacing w:val="-18"/>
        </w:rPr>
        <w:t> </w:t>
      </w:r>
      <w:r>
        <w:rPr/>
        <w:t>exposes</w:t>
      </w:r>
      <w:r>
        <w:rPr>
          <w:spacing w:val="-19"/>
        </w:rPr>
        <w:t> </w:t>
      </w:r>
      <w:r>
        <w:rPr/>
        <w:t>that,</w:t>
      </w:r>
      <w:r>
        <w:rPr>
          <w:spacing w:val="-18"/>
        </w:rPr>
        <w:t> </w:t>
      </w:r>
      <w:r>
        <w:rPr/>
        <w:t>in</w:t>
      </w:r>
      <w:r>
        <w:rPr>
          <w:spacing w:val="-20"/>
        </w:rPr>
        <w:t> </w:t>
      </w:r>
      <w:r>
        <w:rPr/>
        <w:t>fact,</w:t>
      </w:r>
      <w:r>
        <w:rPr>
          <w:spacing w:val="-15"/>
        </w:rPr>
        <w:t> </w:t>
      </w:r>
      <w:r>
        <w:rPr/>
        <w:t>school</w:t>
      </w:r>
      <w:r>
        <w:rPr>
          <w:spacing w:val="-19"/>
        </w:rPr>
        <w:t> </w:t>
      </w:r>
      <w:r>
        <w:rPr/>
        <w:t>choice</w:t>
      </w:r>
      <w:r>
        <w:rPr>
          <w:spacing w:val="-18"/>
        </w:rPr>
        <w:t> </w:t>
      </w:r>
      <w:r>
        <w:rPr/>
        <w:t>is</w:t>
      </w:r>
      <w:r>
        <w:rPr>
          <w:spacing w:val="-19"/>
        </w:rPr>
        <w:t> </w:t>
      </w:r>
      <w:r>
        <w:rPr/>
        <w:t>an</w:t>
      </w:r>
      <w:r>
        <w:rPr>
          <w:spacing w:val="-18"/>
        </w:rPr>
        <w:t> </w:t>
      </w:r>
      <w:r>
        <w:rPr/>
        <w:t>illusion in Arizona in the absence of access to transparent and consistent information regarding charter school finances, executive compensation, contractual obligations and academic performance.</w:t>
      </w:r>
      <w:r>
        <w:rPr>
          <w:spacing w:val="-5"/>
        </w:rPr>
        <w:t> </w:t>
      </w:r>
      <w:r>
        <w:rPr/>
        <w:t>In</w:t>
      </w:r>
      <w:r>
        <w:rPr>
          <w:spacing w:val="-4"/>
        </w:rPr>
        <w:t> </w:t>
      </w:r>
      <w:r>
        <w:rPr/>
        <w:t>the</w:t>
      </w:r>
      <w:r>
        <w:rPr>
          <w:spacing w:val="-5"/>
        </w:rPr>
        <w:t> </w:t>
      </w:r>
      <w:r>
        <w:rPr/>
        <w:t>current</w:t>
      </w:r>
      <w:r>
        <w:rPr>
          <w:spacing w:val="-3"/>
        </w:rPr>
        <w:t> </w:t>
      </w:r>
      <w:r>
        <w:rPr/>
        <w:t>state</w:t>
      </w:r>
      <w:r>
        <w:rPr>
          <w:spacing w:val="-7"/>
        </w:rPr>
        <w:t> </w:t>
      </w:r>
      <w:r>
        <w:rPr/>
        <w:t>of</w:t>
      </w:r>
      <w:r>
        <w:rPr>
          <w:spacing w:val="-3"/>
        </w:rPr>
        <w:t> </w:t>
      </w:r>
      <w:r>
        <w:rPr/>
        <w:t>play,</w:t>
      </w:r>
      <w:r>
        <w:rPr>
          <w:spacing w:val="-5"/>
        </w:rPr>
        <w:t> </w:t>
      </w:r>
      <w:r>
        <w:rPr/>
        <w:t>charter</w:t>
      </w:r>
      <w:r>
        <w:rPr>
          <w:spacing w:val="-6"/>
        </w:rPr>
        <w:t> </w:t>
      </w:r>
      <w:r>
        <w:rPr/>
        <w:t>schools</w:t>
      </w:r>
      <w:r>
        <w:rPr>
          <w:spacing w:val="-6"/>
        </w:rPr>
        <w:t> </w:t>
      </w:r>
      <w:r>
        <w:rPr/>
        <w:t>are</w:t>
      </w:r>
      <w:r>
        <w:rPr>
          <w:spacing w:val="-5"/>
        </w:rPr>
        <w:t> </w:t>
      </w:r>
      <w:r>
        <w:rPr/>
        <w:t>not</w:t>
      </w:r>
      <w:r>
        <w:rPr>
          <w:spacing w:val="-5"/>
        </w:rPr>
        <w:t> </w:t>
      </w:r>
      <w:r>
        <w:rPr/>
        <w:t>required</w:t>
      </w:r>
      <w:r>
        <w:rPr>
          <w:spacing w:val="-5"/>
        </w:rPr>
        <w:t> </w:t>
      </w:r>
      <w:r>
        <w:rPr/>
        <w:t>to</w:t>
      </w:r>
      <w:r>
        <w:rPr>
          <w:spacing w:val="-4"/>
        </w:rPr>
        <w:t> </w:t>
      </w:r>
      <w:r>
        <w:rPr/>
        <w:t>operate</w:t>
      </w:r>
      <w:r>
        <w:rPr>
          <w:spacing w:val="-4"/>
        </w:rPr>
        <w:t> </w:t>
      </w:r>
      <w:r>
        <w:rPr/>
        <w:t>at</w:t>
      </w:r>
      <w:r>
        <w:rPr>
          <w:spacing w:val="-7"/>
        </w:rPr>
        <w:t> </w:t>
      </w:r>
      <w:r>
        <w:rPr/>
        <w:t>a level of financial accountability and transparency that is as comparably stringent as is demanded of public district</w:t>
      </w:r>
      <w:r>
        <w:rPr>
          <w:spacing w:val="-11"/>
        </w:rPr>
        <w:t> </w:t>
      </w:r>
      <w:r>
        <w:rPr/>
        <w:t>schools.</w:t>
      </w:r>
    </w:p>
    <w:p>
      <w:pPr>
        <w:pStyle w:val="BodyText"/>
        <w:spacing w:line="276" w:lineRule="auto" w:before="201"/>
        <w:ind w:left="100" w:right="109"/>
        <w:jc w:val="both"/>
      </w:pPr>
      <w:r>
        <w:rPr/>
        <w:t>While</w:t>
      </w:r>
      <w:r>
        <w:rPr>
          <w:spacing w:val="-6"/>
        </w:rPr>
        <w:t> </w:t>
      </w:r>
      <w:r>
        <w:rPr/>
        <w:t>information</w:t>
      </w:r>
      <w:r>
        <w:rPr>
          <w:spacing w:val="-8"/>
        </w:rPr>
        <w:t> </w:t>
      </w:r>
      <w:r>
        <w:rPr/>
        <w:t>in</w:t>
      </w:r>
      <w:r>
        <w:rPr>
          <w:spacing w:val="-6"/>
        </w:rPr>
        <w:t> </w:t>
      </w:r>
      <w:r>
        <w:rPr/>
        <w:t>these</w:t>
      </w:r>
      <w:r>
        <w:rPr>
          <w:spacing w:val="-6"/>
        </w:rPr>
        <w:t> </w:t>
      </w:r>
      <w:r>
        <w:rPr/>
        <w:t>policy</w:t>
      </w:r>
      <w:r>
        <w:rPr>
          <w:spacing w:val="-9"/>
        </w:rPr>
        <w:t> </w:t>
      </w:r>
      <w:r>
        <w:rPr/>
        <w:t>reports</w:t>
      </w:r>
      <w:r>
        <w:rPr>
          <w:spacing w:val="-7"/>
        </w:rPr>
        <w:t> </w:t>
      </w:r>
      <w:r>
        <w:rPr/>
        <w:t>may</w:t>
      </w:r>
      <w:r>
        <w:rPr>
          <w:spacing w:val="-12"/>
        </w:rPr>
        <w:t> </w:t>
      </w:r>
      <w:r>
        <w:rPr/>
        <w:t>be</w:t>
      </w:r>
      <w:r>
        <w:rPr>
          <w:spacing w:val="-6"/>
        </w:rPr>
        <w:t> </w:t>
      </w:r>
      <w:r>
        <w:rPr/>
        <w:t>alarming,</w:t>
      </w:r>
      <w:r>
        <w:rPr>
          <w:spacing w:val="-6"/>
        </w:rPr>
        <w:t> </w:t>
      </w:r>
      <w:r>
        <w:rPr/>
        <w:t>none</w:t>
      </w:r>
      <w:r>
        <w:rPr>
          <w:spacing w:val="-3"/>
        </w:rPr>
        <w:t> </w:t>
      </w:r>
      <w:r>
        <w:rPr/>
        <w:t>of</w:t>
      </w:r>
      <w:r>
        <w:rPr>
          <w:spacing w:val="-4"/>
        </w:rPr>
        <w:t> </w:t>
      </w:r>
      <w:r>
        <w:rPr/>
        <w:t>it,</w:t>
      </w:r>
      <w:r>
        <w:rPr>
          <w:spacing w:val="-9"/>
        </w:rPr>
        <w:t> </w:t>
      </w:r>
      <w:r>
        <w:rPr/>
        <w:t>under</w:t>
      </w:r>
      <w:r>
        <w:rPr>
          <w:spacing w:val="-7"/>
        </w:rPr>
        <w:t> </w:t>
      </w:r>
      <w:r>
        <w:rPr/>
        <w:t>Arizona</w:t>
      </w:r>
      <w:r>
        <w:rPr>
          <w:spacing w:val="-6"/>
        </w:rPr>
        <w:t> </w:t>
      </w:r>
      <w:r>
        <w:rPr/>
        <w:t>state law,</w:t>
      </w:r>
      <w:r>
        <w:rPr>
          <w:spacing w:val="-9"/>
        </w:rPr>
        <w:t> </w:t>
      </w:r>
      <w:r>
        <w:rPr/>
        <w:t>is</w:t>
      </w:r>
      <w:r>
        <w:rPr>
          <w:spacing w:val="-10"/>
        </w:rPr>
        <w:t> </w:t>
      </w:r>
      <w:r>
        <w:rPr/>
        <w:t>presently</w:t>
      </w:r>
      <w:r>
        <w:rPr>
          <w:spacing w:val="-12"/>
        </w:rPr>
        <w:t> </w:t>
      </w:r>
      <w:r>
        <w:rPr/>
        <w:t>illegal.</w:t>
      </w:r>
      <w:r>
        <w:rPr>
          <w:spacing w:val="-9"/>
        </w:rPr>
        <w:t> </w:t>
      </w:r>
      <w:r>
        <w:rPr/>
        <w:t>It</w:t>
      </w:r>
      <w:r>
        <w:rPr>
          <w:spacing w:val="-8"/>
        </w:rPr>
        <w:t> </w:t>
      </w:r>
      <w:r>
        <w:rPr/>
        <w:t>is</w:t>
      </w:r>
      <w:r>
        <w:rPr>
          <w:spacing w:val="-12"/>
        </w:rPr>
        <w:t> </w:t>
      </w:r>
      <w:r>
        <w:rPr/>
        <w:t>not</w:t>
      </w:r>
      <w:r>
        <w:rPr>
          <w:spacing w:val="-11"/>
        </w:rPr>
        <w:t> </w:t>
      </w:r>
      <w:r>
        <w:rPr/>
        <w:t>the</w:t>
      </w:r>
      <w:r>
        <w:rPr>
          <w:spacing w:val="-8"/>
        </w:rPr>
        <w:t> </w:t>
      </w:r>
      <w:r>
        <w:rPr/>
        <w:t>intent</w:t>
      </w:r>
      <w:r>
        <w:rPr>
          <w:spacing w:val="-11"/>
        </w:rPr>
        <w:t> </w:t>
      </w:r>
      <w:r>
        <w:rPr/>
        <w:t>of</w:t>
      </w:r>
      <w:r>
        <w:rPr>
          <w:spacing w:val="-9"/>
        </w:rPr>
        <w:t> </w:t>
      </w:r>
      <w:r>
        <w:rPr/>
        <w:t>these</w:t>
      </w:r>
      <w:r>
        <w:rPr>
          <w:spacing w:val="-8"/>
        </w:rPr>
        <w:t> </w:t>
      </w:r>
      <w:r>
        <w:rPr/>
        <w:t>reports</w:t>
      </w:r>
      <w:r>
        <w:rPr>
          <w:spacing w:val="-9"/>
        </w:rPr>
        <w:t> </w:t>
      </w:r>
      <w:r>
        <w:rPr/>
        <w:t>to</w:t>
      </w:r>
      <w:r>
        <w:rPr>
          <w:spacing w:val="-8"/>
        </w:rPr>
        <w:t> </w:t>
      </w:r>
      <w:r>
        <w:rPr/>
        <w:t>suggest</w:t>
      </w:r>
      <w:r>
        <w:rPr>
          <w:spacing w:val="-11"/>
        </w:rPr>
        <w:t> </w:t>
      </w:r>
      <w:r>
        <w:rPr/>
        <w:t>any</w:t>
      </w:r>
      <w:r>
        <w:rPr>
          <w:spacing w:val="-12"/>
        </w:rPr>
        <w:t> </w:t>
      </w:r>
      <w:r>
        <w:rPr/>
        <w:t>charter</w:t>
      </w:r>
      <w:r>
        <w:rPr>
          <w:spacing w:val="-12"/>
        </w:rPr>
        <w:t> </w:t>
      </w:r>
      <w:r>
        <w:rPr/>
        <w:t>operator is</w:t>
      </w:r>
      <w:r>
        <w:rPr>
          <w:spacing w:val="-17"/>
        </w:rPr>
        <w:t> </w:t>
      </w:r>
      <w:r>
        <w:rPr/>
        <w:t>currently</w:t>
      </w:r>
      <w:r>
        <w:rPr>
          <w:spacing w:val="-16"/>
        </w:rPr>
        <w:t> </w:t>
      </w:r>
      <w:r>
        <w:rPr/>
        <w:t>violating</w:t>
      </w:r>
      <w:r>
        <w:rPr>
          <w:spacing w:val="-18"/>
        </w:rPr>
        <w:t> </w:t>
      </w:r>
      <w:r>
        <w:rPr/>
        <w:t>state</w:t>
      </w:r>
      <w:r>
        <w:rPr>
          <w:spacing w:val="-15"/>
        </w:rPr>
        <w:t> </w:t>
      </w:r>
      <w:r>
        <w:rPr/>
        <w:t>law.</w:t>
      </w:r>
      <w:r>
        <w:rPr>
          <w:spacing w:val="-16"/>
        </w:rPr>
        <w:t> </w:t>
      </w:r>
      <w:r>
        <w:rPr/>
        <w:t>The</w:t>
      </w:r>
      <w:r>
        <w:rPr>
          <w:spacing w:val="-16"/>
        </w:rPr>
        <w:t> </w:t>
      </w:r>
      <w:r>
        <w:rPr/>
        <w:t>identified</w:t>
      </w:r>
      <w:r>
        <w:rPr>
          <w:spacing w:val="-18"/>
        </w:rPr>
        <w:t> </w:t>
      </w:r>
      <w:r>
        <w:rPr/>
        <w:t>practices</w:t>
      </w:r>
      <w:r>
        <w:rPr>
          <w:spacing w:val="-16"/>
        </w:rPr>
        <w:t> </w:t>
      </w:r>
      <w:r>
        <w:rPr/>
        <w:t>are</w:t>
      </w:r>
      <w:r>
        <w:rPr>
          <w:spacing w:val="-19"/>
        </w:rPr>
        <w:t> </w:t>
      </w:r>
      <w:r>
        <w:rPr/>
        <w:t>all</w:t>
      </w:r>
      <w:r>
        <w:rPr>
          <w:spacing w:val="-17"/>
        </w:rPr>
        <w:t> </w:t>
      </w:r>
      <w:r>
        <w:rPr/>
        <w:t>legal</w:t>
      </w:r>
      <w:r>
        <w:rPr>
          <w:spacing w:val="-17"/>
        </w:rPr>
        <w:t> </w:t>
      </w:r>
      <w:r>
        <w:rPr/>
        <w:t>under</w:t>
      </w:r>
      <w:r>
        <w:rPr>
          <w:spacing w:val="-17"/>
        </w:rPr>
        <w:t> </w:t>
      </w:r>
      <w:r>
        <w:rPr/>
        <w:t>the</w:t>
      </w:r>
      <w:r>
        <w:rPr>
          <w:spacing w:val="-16"/>
        </w:rPr>
        <w:t> </w:t>
      </w:r>
      <w:r>
        <w:rPr/>
        <w:t>current</w:t>
      </w:r>
      <w:r>
        <w:rPr>
          <w:spacing w:val="-11"/>
        </w:rPr>
        <w:t> </w:t>
      </w:r>
      <w:r>
        <w:rPr/>
        <w:t>rules.</w:t>
      </w:r>
    </w:p>
    <w:p>
      <w:pPr>
        <w:pStyle w:val="BodyText"/>
        <w:spacing w:before="202"/>
        <w:ind w:left="100"/>
        <w:jc w:val="both"/>
      </w:pPr>
      <w:r>
        <w:rPr/>
        <w:t>The law’s silence on these issues is deafening.</w:t>
      </w:r>
    </w:p>
    <w:p>
      <w:pPr>
        <w:spacing w:after="0"/>
        <w:jc w:val="both"/>
        <w:sectPr>
          <w:pgSz w:w="12240" w:h="15840"/>
          <w:pgMar w:header="740" w:footer="1002" w:top="940" w:bottom="1200" w:left="1340" w:right="1320"/>
        </w:sectPr>
      </w:pPr>
    </w:p>
    <w:p>
      <w:pPr>
        <w:pStyle w:val="BodyText"/>
        <w:rPr>
          <w:sz w:val="20"/>
        </w:rPr>
      </w:pPr>
    </w:p>
    <w:p>
      <w:pPr>
        <w:pStyle w:val="BodyText"/>
        <w:rPr>
          <w:sz w:val="20"/>
        </w:rPr>
      </w:pPr>
    </w:p>
    <w:p>
      <w:pPr>
        <w:pStyle w:val="BodyText"/>
        <w:spacing w:before="8" w:after="1"/>
        <w:rPr>
          <w:sz w:val="23"/>
        </w:rPr>
      </w:pPr>
    </w:p>
    <w:p>
      <w:pPr>
        <w:pStyle w:val="BodyText"/>
        <w:spacing w:line="20" w:lineRule="exact"/>
        <w:ind w:left="112"/>
        <w:rPr>
          <w:sz w:val="2"/>
        </w:rPr>
      </w:pPr>
      <w:r>
        <w:rPr>
          <w:sz w:val="2"/>
        </w:rPr>
        <w:pict>
          <v:group style="width:144.75pt;height:.75pt;mso-position-horizontal-relative:char;mso-position-vertical-relative:line" coordorigin="0,0" coordsize="2895,15">
            <v:line style="position:absolute" from="8,8" to="2888,8" stroked="true" strokeweight=".72pt" strokecolor="#000000">
              <v:stroke dashstyle="solid"/>
            </v:line>
          </v:group>
        </w:pict>
      </w:r>
      <w:r>
        <w:rPr>
          <w:sz w:val="2"/>
        </w:rPr>
      </w:r>
    </w:p>
    <w:p>
      <w:pPr>
        <w:spacing w:before="66"/>
        <w:ind w:left="120" w:right="0" w:firstLine="0"/>
        <w:jc w:val="left"/>
        <w:rPr>
          <w:rFonts w:ascii="Calibri"/>
          <w:sz w:val="20"/>
        </w:rPr>
      </w:pPr>
      <w:bookmarkStart w:name="_bookmark4" w:id="5"/>
      <w:bookmarkEnd w:id="5"/>
      <w:r>
        <w:rPr/>
      </w:r>
      <w:r>
        <w:rPr>
          <w:rFonts w:ascii="Calibri"/>
          <w:position w:val="7"/>
          <w:sz w:val="13"/>
        </w:rPr>
        <w:t>3 </w:t>
      </w:r>
      <w:r>
        <w:rPr>
          <w:rFonts w:ascii="Calibri"/>
          <w:sz w:val="20"/>
        </w:rPr>
        <w:t>The number 407 includes all non-district, municipality, and university charters. Charter school organizations can use consolidated audits which means organizations with multiple charters can submit one audited report. This practice is detailed in these reports.</w:t>
      </w:r>
    </w:p>
    <w:p>
      <w:pPr>
        <w:spacing w:after="0"/>
        <w:jc w:val="left"/>
        <w:rPr>
          <w:rFonts w:ascii="Calibri"/>
          <w:sz w:val="20"/>
        </w:rPr>
        <w:sectPr>
          <w:footerReference w:type="default" r:id="rId8"/>
          <w:pgSz w:w="12240" w:h="15840"/>
          <w:pgMar w:footer="1002" w:header="740" w:top="940" w:bottom="1200" w:left="1320" w:right="1520"/>
        </w:sectPr>
      </w:pPr>
    </w:p>
    <w:p>
      <w:pPr>
        <w:pStyle w:val="BodyText"/>
        <w:rPr>
          <w:rFonts w:ascii="Calibri"/>
          <w:sz w:val="20"/>
        </w:rPr>
      </w:pPr>
    </w:p>
    <w:p>
      <w:pPr>
        <w:pStyle w:val="Heading1"/>
        <w:spacing w:before="237"/>
      </w:pPr>
      <w:bookmarkStart w:name="_bookmark5" w:id="6"/>
      <w:bookmarkEnd w:id="6"/>
      <w:r>
        <w:rPr/>
      </w:r>
      <w:r>
        <w:rPr>
          <w:color w:val="365F91"/>
        </w:rPr>
        <w:t>Findings and Recommendations</w:t>
      </w:r>
    </w:p>
    <w:p>
      <w:pPr>
        <w:pStyle w:val="Heading2"/>
        <w:spacing w:before="237"/>
      </w:pPr>
      <w:bookmarkStart w:name="_bookmark6" w:id="7"/>
      <w:bookmarkEnd w:id="7"/>
      <w:r>
        <w:rPr>
          <w:b w:val="0"/>
        </w:rPr>
      </w:r>
      <w:r>
        <w:rPr>
          <w:color w:val="4F81BC"/>
        </w:rPr>
        <w:t>Topics in the First Policy Report</w:t>
      </w:r>
    </w:p>
    <w:p>
      <w:pPr>
        <w:pStyle w:val="BodyText"/>
        <w:spacing w:before="11"/>
        <w:rPr>
          <w:b/>
          <w:sz w:val="25"/>
        </w:rPr>
      </w:pPr>
    </w:p>
    <w:p>
      <w:pPr>
        <w:pStyle w:val="ListParagraph"/>
        <w:numPr>
          <w:ilvl w:val="0"/>
          <w:numId w:val="1"/>
        </w:numPr>
        <w:tabs>
          <w:tab w:pos="1201" w:val="left" w:leader="none"/>
        </w:tabs>
        <w:spacing w:line="285" w:lineRule="exact" w:before="0" w:after="0"/>
        <w:ind w:left="1200" w:right="0" w:hanging="360"/>
        <w:jc w:val="left"/>
        <w:rPr>
          <w:sz w:val="24"/>
        </w:rPr>
      </w:pPr>
      <w:r>
        <w:rPr>
          <w:sz w:val="24"/>
        </w:rPr>
        <w:t>Related Party Transactions and their Effect on the</w:t>
      </w:r>
      <w:r>
        <w:rPr>
          <w:spacing w:val="-47"/>
          <w:sz w:val="24"/>
        </w:rPr>
        <w:t> </w:t>
      </w:r>
      <w:r>
        <w:rPr>
          <w:sz w:val="24"/>
        </w:rPr>
        <w:t>Marketplace</w:t>
      </w:r>
    </w:p>
    <w:p>
      <w:pPr>
        <w:pStyle w:val="ListParagraph"/>
        <w:numPr>
          <w:ilvl w:val="1"/>
          <w:numId w:val="1"/>
        </w:numPr>
        <w:tabs>
          <w:tab w:pos="1921" w:val="left" w:leader="none"/>
        </w:tabs>
        <w:spacing w:line="267" w:lineRule="exact" w:before="0" w:after="0"/>
        <w:ind w:left="1920" w:right="0" w:hanging="360"/>
        <w:jc w:val="left"/>
        <w:rPr>
          <w:sz w:val="24"/>
        </w:rPr>
      </w:pPr>
      <w:r>
        <w:rPr>
          <w:sz w:val="24"/>
        </w:rPr>
        <w:t>Percentage of Related Party Expenditures to Overall</w:t>
      </w:r>
      <w:r>
        <w:rPr>
          <w:spacing w:val="-50"/>
          <w:sz w:val="24"/>
        </w:rPr>
        <w:t> </w:t>
      </w:r>
      <w:r>
        <w:rPr>
          <w:sz w:val="24"/>
        </w:rPr>
        <w:t>Expenditures</w:t>
      </w:r>
    </w:p>
    <w:p>
      <w:pPr>
        <w:pStyle w:val="ListParagraph"/>
        <w:numPr>
          <w:ilvl w:val="1"/>
          <w:numId w:val="1"/>
        </w:numPr>
        <w:tabs>
          <w:tab w:pos="1921" w:val="left" w:leader="none"/>
        </w:tabs>
        <w:spacing w:line="240" w:lineRule="auto" w:before="0" w:after="0"/>
        <w:ind w:left="1920" w:right="265" w:hanging="360"/>
        <w:jc w:val="left"/>
        <w:rPr>
          <w:sz w:val="24"/>
        </w:rPr>
      </w:pPr>
      <w:r>
        <w:rPr>
          <w:sz w:val="24"/>
        </w:rPr>
        <w:t>Checking on the validity of claims that Related Party Expenditures</w:t>
      </w:r>
      <w:r>
        <w:rPr>
          <w:spacing w:val="-27"/>
          <w:sz w:val="24"/>
        </w:rPr>
        <w:t> </w:t>
      </w:r>
      <w:r>
        <w:rPr>
          <w:sz w:val="24"/>
        </w:rPr>
        <w:t>are Cost Effective and Efficient</w:t>
      </w:r>
      <w:r>
        <w:rPr>
          <w:spacing w:val="-26"/>
          <w:sz w:val="24"/>
        </w:rPr>
        <w:t> </w:t>
      </w:r>
      <w:r>
        <w:rPr>
          <w:sz w:val="24"/>
        </w:rPr>
        <w:t>Transactions</w:t>
      </w:r>
    </w:p>
    <w:p>
      <w:pPr>
        <w:pStyle w:val="ListParagraph"/>
        <w:numPr>
          <w:ilvl w:val="1"/>
          <w:numId w:val="1"/>
        </w:numPr>
        <w:tabs>
          <w:tab w:pos="1921" w:val="left" w:leader="none"/>
        </w:tabs>
        <w:spacing w:line="240" w:lineRule="auto" w:before="1" w:after="0"/>
        <w:ind w:left="1920" w:right="0" w:hanging="360"/>
        <w:jc w:val="left"/>
        <w:rPr>
          <w:sz w:val="24"/>
        </w:rPr>
      </w:pPr>
      <w:r>
        <w:rPr>
          <w:sz w:val="24"/>
        </w:rPr>
        <w:t>Relationships between the Corporate Boards and Charter</w:t>
      </w:r>
      <w:r>
        <w:rPr>
          <w:spacing w:val="-53"/>
          <w:sz w:val="24"/>
        </w:rPr>
        <w:t> </w:t>
      </w:r>
      <w:r>
        <w:rPr>
          <w:sz w:val="24"/>
        </w:rPr>
        <w:t>Holders</w:t>
      </w:r>
    </w:p>
    <w:p>
      <w:pPr>
        <w:pStyle w:val="BodyText"/>
        <w:tabs>
          <w:tab w:pos="2661" w:val="left" w:leader="none"/>
        </w:tabs>
        <w:ind w:left="2340"/>
      </w:pPr>
      <w:r>
        <w:rPr/>
        <w:t>i.</w:t>
        <w:tab/>
        <w:t>Related Parties Defined and</w:t>
      </w:r>
      <w:r>
        <w:rPr>
          <w:spacing w:val="-14"/>
        </w:rPr>
        <w:t> </w:t>
      </w:r>
      <w:r>
        <w:rPr/>
        <w:t>Listed</w:t>
      </w:r>
    </w:p>
    <w:p>
      <w:pPr>
        <w:pStyle w:val="ListParagraph"/>
        <w:numPr>
          <w:ilvl w:val="1"/>
          <w:numId w:val="1"/>
        </w:numPr>
        <w:tabs>
          <w:tab w:pos="1921" w:val="left" w:leader="none"/>
        </w:tabs>
        <w:spacing w:line="240" w:lineRule="auto" w:before="0" w:after="0"/>
        <w:ind w:left="1920" w:right="114" w:hanging="360"/>
        <w:jc w:val="both"/>
        <w:rPr>
          <w:sz w:val="24"/>
        </w:rPr>
      </w:pPr>
      <w:r>
        <w:rPr>
          <w:sz w:val="24"/>
        </w:rPr>
        <w:t>Amounts</w:t>
      </w:r>
      <w:r>
        <w:rPr>
          <w:spacing w:val="-13"/>
          <w:sz w:val="24"/>
        </w:rPr>
        <w:t> </w:t>
      </w:r>
      <w:r>
        <w:rPr>
          <w:sz w:val="24"/>
        </w:rPr>
        <w:t>involved</w:t>
      </w:r>
      <w:r>
        <w:rPr>
          <w:spacing w:val="-10"/>
          <w:sz w:val="24"/>
        </w:rPr>
        <w:t> </w:t>
      </w:r>
      <w:r>
        <w:rPr>
          <w:sz w:val="24"/>
        </w:rPr>
        <w:t>in</w:t>
      </w:r>
      <w:r>
        <w:rPr>
          <w:spacing w:val="-11"/>
          <w:sz w:val="24"/>
        </w:rPr>
        <w:t> </w:t>
      </w:r>
      <w:r>
        <w:rPr>
          <w:sz w:val="24"/>
        </w:rPr>
        <w:t>Related</w:t>
      </w:r>
      <w:r>
        <w:rPr>
          <w:spacing w:val="-10"/>
          <w:sz w:val="24"/>
        </w:rPr>
        <w:t> </w:t>
      </w:r>
      <w:r>
        <w:rPr>
          <w:sz w:val="24"/>
        </w:rPr>
        <w:t>Party</w:t>
      </w:r>
      <w:r>
        <w:rPr>
          <w:spacing w:val="-14"/>
          <w:sz w:val="24"/>
        </w:rPr>
        <w:t> </w:t>
      </w:r>
      <w:r>
        <w:rPr>
          <w:sz w:val="24"/>
        </w:rPr>
        <w:t>“for</w:t>
      </w:r>
      <w:r>
        <w:rPr>
          <w:spacing w:val="-12"/>
          <w:sz w:val="24"/>
        </w:rPr>
        <w:t> </w:t>
      </w:r>
      <w:r>
        <w:rPr>
          <w:sz w:val="24"/>
        </w:rPr>
        <w:t>Profits”</w:t>
      </w:r>
      <w:r>
        <w:rPr>
          <w:spacing w:val="-12"/>
          <w:sz w:val="24"/>
        </w:rPr>
        <w:t> </w:t>
      </w:r>
      <w:r>
        <w:rPr>
          <w:sz w:val="24"/>
        </w:rPr>
        <w:t>associated</w:t>
      </w:r>
      <w:r>
        <w:rPr>
          <w:spacing w:val="-10"/>
          <w:sz w:val="24"/>
        </w:rPr>
        <w:t> </w:t>
      </w:r>
      <w:r>
        <w:rPr>
          <w:sz w:val="24"/>
        </w:rPr>
        <w:t>with</w:t>
      </w:r>
      <w:r>
        <w:rPr>
          <w:spacing w:val="-10"/>
          <w:sz w:val="24"/>
        </w:rPr>
        <w:t> </w:t>
      </w:r>
      <w:r>
        <w:rPr>
          <w:sz w:val="24"/>
        </w:rPr>
        <w:t>nonprofit charters: An analysis of the financial transactions involved in these subsidiaries.</w:t>
      </w:r>
    </w:p>
    <w:p>
      <w:pPr>
        <w:pStyle w:val="ListParagraph"/>
        <w:numPr>
          <w:ilvl w:val="0"/>
          <w:numId w:val="1"/>
        </w:numPr>
        <w:tabs>
          <w:tab w:pos="1201" w:val="left" w:leader="none"/>
        </w:tabs>
        <w:spacing w:line="281" w:lineRule="exact" w:before="5" w:after="0"/>
        <w:ind w:left="1200" w:right="0" w:hanging="360"/>
        <w:jc w:val="left"/>
        <w:rPr>
          <w:sz w:val="24"/>
        </w:rPr>
      </w:pPr>
      <w:r>
        <w:rPr>
          <w:sz w:val="24"/>
        </w:rPr>
        <w:t>Executive and Administrative</w:t>
      </w:r>
      <w:r>
        <w:rPr>
          <w:spacing w:val="-32"/>
          <w:sz w:val="24"/>
        </w:rPr>
        <w:t> </w:t>
      </w:r>
      <w:r>
        <w:rPr>
          <w:sz w:val="24"/>
        </w:rPr>
        <w:t>Compensation</w:t>
      </w:r>
    </w:p>
    <w:p>
      <w:pPr>
        <w:pStyle w:val="ListParagraph"/>
        <w:numPr>
          <w:ilvl w:val="1"/>
          <w:numId w:val="1"/>
        </w:numPr>
        <w:tabs>
          <w:tab w:pos="1921" w:val="left" w:leader="none"/>
        </w:tabs>
        <w:spacing w:line="264" w:lineRule="exact" w:before="0" w:after="0"/>
        <w:ind w:left="1920" w:right="0" w:hanging="360"/>
        <w:jc w:val="left"/>
        <w:rPr>
          <w:sz w:val="24"/>
        </w:rPr>
      </w:pPr>
      <w:r>
        <w:rPr>
          <w:sz w:val="24"/>
        </w:rPr>
        <w:t>Analysis of the decision making systems regarding</w:t>
      </w:r>
      <w:r>
        <w:rPr>
          <w:spacing w:val="-44"/>
          <w:sz w:val="24"/>
        </w:rPr>
        <w:t> </w:t>
      </w:r>
      <w:r>
        <w:rPr>
          <w:sz w:val="24"/>
        </w:rPr>
        <w:t>compensation</w:t>
      </w:r>
    </w:p>
    <w:p>
      <w:pPr>
        <w:pStyle w:val="ListParagraph"/>
        <w:numPr>
          <w:ilvl w:val="2"/>
          <w:numId w:val="1"/>
        </w:numPr>
        <w:tabs>
          <w:tab w:pos="2641" w:val="left" w:leader="none"/>
          <w:tab w:pos="4102" w:val="left" w:leader="none"/>
          <w:tab w:pos="4724" w:val="left" w:leader="none"/>
          <w:tab w:pos="5931" w:val="left" w:leader="none"/>
          <w:tab w:pos="7928" w:val="left" w:leader="none"/>
          <w:tab w:pos="8416" w:val="left" w:leader="none"/>
        </w:tabs>
        <w:spacing w:line="206" w:lineRule="auto" w:before="47" w:after="0"/>
        <w:ind w:left="2640" w:right="122" w:hanging="360"/>
        <w:jc w:val="left"/>
        <w:rPr>
          <w:sz w:val="24"/>
        </w:rPr>
      </w:pPr>
      <w:r>
        <w:rPr>
          <w:sz w:val="24"/>
        </w:rPr>
        <w:t>Comparing</w:t>
        <w:tab/>
        <w:t>the</w:t>
        <w:tab/>
        <w:t>declared</w:t>
        <w:tab/>
        <w:t>method</w:t>
      </w:r>
      <w:hyperlink w:history="true" w:anchor="_bookmark7">
        <w:r>
          <w:rPr>
            <w:position w:val="8"/>
            <w:sz w:val="16"/>
          </w:rPr>
          <w:t>4</w:t>
        </w:r>
      </w:hyperlink>
      <w:r>
        <w:rPr>
          <w:position w:val="8"/>
          <w:sz w:val="16"/>
        </w:rPr>
        <w:t>   </w:t>
      </w:r>
      <w:r>
        <w:rPr>
          <w:spacing w:val="10"/>
          <w:position w:val="8"/>
          <w:sz w:val="16"/>
        </w:rPr>
        <w:t> </w:t>
      </w:r>
      <w:r>
        <w:rPr>
          <w:sz w:val="24"/>
        </w:rPr>
        <w:t>used</w:t>
        <w:tab/>
        <w:t>to</w:t>
        <w:tab/>
      </w:r>
      <w:r>
        <w:rPr>
          <w:spacing w:val="-1"/>
          <w:sz w:val="24"/>
        </w:rPr>
        <w:t>determine </w:t>
      </w:r>
      <w:r>
        <w:rPr>
          <w:sz w:val="24"/>
        </w:rPr>
        <w:t>compensation alignment with similar sized</w:t>
      </w:r>
      <w:r>
        <w:rPr>
          <w:spacing w:val="-46"/>
          <w:sz w:val="24"/>
        </w:rPr>
        <w:t> </w:t>
      </w:r>
      <w:r>
        <w:rPr>
          <w:sz w:val="24"/>
        </w:rPr>
        <w:t>organizations.</w:t>
      </w:r>
    </w:p>
    <w:p>
      <w:pPr>
        <w:pStyle w:val="ListParagraph"/>
        <w:numPr>
          <w:ilvl w:val="1"/>
          <w:numId w:val="1"/>
        </w:numPr>
        <w:tabs>
          <w:tab w:pos="1921" w:val="left" w:leader="none"/>
          <w:tab w:pos="3593" w:val="left" w:leader="none"/>
          <w:tab w:pos="4052" w:val="left" w:leader="none"/>
          <w:tab w:pos="4640" w:val="left" w:leader="none"/>
          <w:tab w:pos="6298" w:val="left" w:leader="none"/>
          <w:tab w:pos="7527" w:val="left" w:leader="none"/>
          <w:tab w:pos="9280" w:val="left" w:leader="none"/>
        </w:tabs>
        <w:spacing w:line="240" w:lineRule="auto" w:before="0" w:after="0"/>
        <w:ind w:left="1920" w:right="118" w:hanging="360"/>
        <w:jc w:val="left"/>
        <w:rPr>
          <w:sz w:val="24"/>
        </w:rPr>
      </w:pPr>
      <w:r>
        <w:rPr>
          <w:sz w:val="24"/>
        </w:rPr>
        <w:t>Comparisons</w:t>
        <w:tab/>
        <w:t>to</w:t>
        <w:tab/>
        <w:t>the</w:t>
        <w:tab/>
        <w:t>competition’s</w:t>
        <w:tab/>
        <w:t>(districts)</w:t>
        <w:tab/>
        <w:t>compensation</w:t>
        <w:tab/>
        <w:t>of</w:t>
      </w:r>
      <w:r>
        <w:rPr>
          <w:w w:val="100"/>
          <w:sz w:val="24"/>
        </w:rPr>
        <w:t> </w:t>
      </w:r>
      <w:r>
        <w:rPr>
          <w:sz w:val="24"/>
        </w:rPr>
        <w:t>superintendents in similar sized</w:t>
      </w:r>
      <w:r>
        <w:rPr>
          <w:spacing w:val="-31"/>
          <w:sz w:val="24"/>
        </w:rPr>
        <w:t> </w:t>
      </w:r>
      <w:r>
        <w:rPr>
          <w:sz w:val="24"/>
        </w:rPr>
        <w:t>districts.</w:t>
      </w:r>
    </w:p>
    <w:p>
      <w:pPr>
        <w:pStyle w:val="ListParagraph"/>
        <w:numPr>
          <w:ilvl w:val="0"/>
          <w:numId w:val="1"/>
        </w:numPr>
        <w:tabs>
          <w:tab w:pos="1201" w:val="left" w:leader="none"/>
        </w:tabs>
        <w:spacing w:line="283" w:lineRule="exact" w:before="11" w:after="0"/>
        <w:ind w:left="1200" w:right="0" w:hanging="360"/>
        <w:jc w:val="left"/>
        <w:rPr>
          <w:sz w:val="24"/>
        </w:rPr>
      </w:pPr>
      <w:r>
        <w:rPr>
          <w:sz w:val="24"/>
        </w:rPr>
        <w:t>For Profit Distributions and Owners’</w:t>
      </w:r>
      <w:r>
        <w:rPr>
          <w:spacing w:val="-39"/>
          <w:sz w:val="24"/>
        </w:rPr>
        <w:t> </w:t>
      </w:r>
      <w:r>
        <w:rPr>
          <w:sz w:val="24"/>
        </w:rPr>
        <w:t>Equity</w:t>
      </w:r>
    </w:p>
    <w:p>
      <w:pPr>
        <w:pStyle w:val="ListParagraph"/>
        <w:numPr>
          <w:ilvl w:val="1"/>
          <w:numId w:val="1"/>
        </w:numPr>
        <w:tabs>
          <w:tab w:pos="1921" w:val="left" w:leader="none"/>
        </w:tabs>
        <w:spacing w:line="266" w:lineRule="exact" w:before="0" w:after="0"/>
        <w:ind w:left="1920" w:right="0" w:hanging="360"/>
        <w:jc w:val="left"/>
        <w:rPr>
          <w:sz w:val="24"/>
        </w:rPr>
      </w:pPr>
      <w:r>
        <w:rPr>
          <w:sz w:val="24"/>
        </w:rPr>
        <w:t>Analysis of the equitable distribution of profits as they relate</w:t>
      </w:r>
      <w:r>
        <w:rPr>
          <w:spacing w:val="-46"/>
          <w:sz w:val="24"/>
        </w:rPr>
        <w:t> </w:t>
      </w:r>
      <w:r>
        <w:rPr>
          <w:sz w:val="24"/>
        </w:rPr>
        <w:t>to:</w:t>
      </w:r>
    </w:p>
    <w:p>
      <w:pPr>
        <w:pStyle w:val="ListParagraph"/>
        <w:numPr>
          <w:ilvl w:val="2"/>
          <w:numId w:val="1"/>
        </w:numPr>
        <w:tabs>
          <w:tab w:pos="2641" w:val="left" w:leader="none"/>
        </w:tabs>
        <w:spacing w:line="289" w:lineRule="exact" w:before="7" w:after="0"/>
        <w:ind w:left="2640" w:right="0" w:hanging="360"/>
        <w:jc w:val="left"/>
        <w:rPr>
          <w:sz w:val="24"/>
        </w:rPr>
      </w:pPr>
      <w:r>
        <w:rPr>
          <w:sz w:val="24"/>
        </w:rPr>
        <w:t>Net for the</w:t>
      </w:r>
      <w:r>
        <w:rPr>
          <w:spacing w:val="-11"/>
          <w:sz w:val="24"/>
        </w:rPr>
        <w:t> </w:t>
      </w:r>
      <w:r>
        <w:rPr>
          <w:sz w:val="24"/>
        </w:rPr>
        <w:t>Year</w:t>
      </w:r>
    </w:p>
    <w:p>
      <w:pPr>
        <w:pStyle w:val="ListParagraph"/>
        <w:numPr>
          <w:ilvl w:val="2"/>
          <w:numId w:val="1"/>
        </w:numPr>
        <w:tabs>
          <w:tab w:pos="2641" w:val="left" w:leader="none"/>
        </w:tabs>
        <w:spacing w:line="277" w:lineRule="exact" w:before="0" w:after="0"/>
        <w:ind w:left="2640" w:right="0" w:hanging="360"/>
        <w:jc w:val="left"/>
        <w:rPr>
          <w:sz w:val="24"/>
        </w:rPr>
      </w:pPr>
      <w:r>
        <w:rPr>
          <w:sz w:val="24"/>
        </w:rPr>
        <w:t>The Expenditures for the</w:t>
      </w:r>
      <w:r>
        <w:rPr>
          <w:spacing w:val="-25"/>
          <w:sz w:val="24"/>
        </w:rPr>
        <w:t> </w:t>
      </w:r>
      <w:r>
        <w:rPr>
          <w:sz w:val="24"/>
        </w:rPr>
        <w:t>year</w:t>
      </w:r>
    </w:p>
    <w:p>
      <w:pPr>
        <w:pStyle w:val="ListParagraph"/>
        <w:numPr>
          <w:ilvl w:val="2"/>
          <w:numId w:val="1"/>
        </w:numPr>
        <w:tabs>
          <w:tab w:pos="2641" w:val="left" w:leader="none"/>
        </w:tabs>
        <w:spacing w:line="201" w:lineRule="auto" w:before="36" w:after="0"/>
        <w:ind w:left="2640" w:right="917" w:hanging="360"/>
        <w:jc w:val="left"/>
        <w:rPr>
          <w:sz w:val="24"/>
        </w:rPr>
      </w:pPr>
      <w:r>
        <w:rPr>
          <w:sz w:val="24"/>
        </w:rPr>
        <w:t>Underfunding and depleting of the stock holder’s</w:t>
      </w:r>
      <w:r>
        <w:rPr>
          <w:spacing w:val="-25"/>
          <w:sz w:val="24"/>
        </w:rPr>
        <w:t> </w:t>
      </w:r>
      <w:r>
        <w:rPr>
          <w:sz w:val="24"/>
        </w:rPr>
        <w:t>owners’ equity</w:t>
      </w:r>
      <w:hyperlink w:history="true" w:anchor="_bookmark8">
        <w:r>
          <w:rPr>
            <w:position w:val="8"/>
            <w:sz w:val="16"/>
          </w:rPr>
          <w:t>5</w:t>
        </w:r>
      </w:hyperlink>
      <w:r>
        <w:rPr>
          <w:sz w:val="24"/>
        </w:rPr>
        <w:t>.</w:t>
      </w:r>
    </w:p>
    <w:p>
      <w:pPr>
        <w:pStyle w:val="ListParagraph"/>
        <w:numPr>
          <w:ilvl w:val="0"/>
          <w:numId w:val="1"/>
        </w:numPr>
        <w:tabs>
          <w:tab w:pos="1201" w:val="left" w:leader="none"/>
        </w:tabs>
        <w:spacing w:line="283" w:lineRule="exact" w:before="0" w:after="0"/>
        <w:ind w:left="1200" w:right="0" w:hanging="360"/>
        <w:jc w:val="left"/>
        <w:rPr>
          <w:sz w:val="24"/>
        </w:rPr>
      </w:pPr>
      <w:r>
        <w:rPr>
          <w:sz w:val="24"/>
        </w:rPr>
        <w:t>Classroom Expenditures in Charters and</w:t>
      </w:r>
      <w:r>
        <w:rPr>
          <w:spacing w:val="-38"/>
          <w:sz w:val="24"/>
        </w:rPr>
        <w:t> </w:t>
      </w:r>
      <w:r>
        <w:rPr>
          <w:sz w:val="24"/>
        </w:rPr>
        <w:t>Districts</w:t>
      </w:r>
    </w:p>
    <w:p>
      <w:pPr>
        <w:pStyle w:val="ListParagraph"/>
        <w:numPr>
          <w:ilvl w:val="1"/>
          <w:numId w:val="1"/>
        </w:numPr>
        <w:tabs>
          <w:tab w:pos="1921" w:val="left" w:leader="none"/>
        </w:tabs>
        <w:spacing w:line="267" w:lineRule="exact" w:before="0" w:after="0"/>
        <w:ind w:left="1920" w:right="0" w:hanging="360"/>
        <w:jc w:val="left"/>
        <w:rPr>
          <w:sz w:val="24"/>
        </w:rPr>
      </w:pPr>
      <w:r>
        <w:rPr>
          <w:sz w:val="24"/>
        </w:rPr>
        <w:t>Following the money used to educate our</w:t>
      </w:r>
      <w:r>
        <w:rPr>
          <w:spacing w:val="-35"/>
          <w:sz w:val="24"/>
        </w:rPr>
        <w:t> </w:t>
      </w:r>
      <w:r>
        <w:rPr>
          <w:sz w:val="24"/>
        </w:rPr>
        <w:t>children</w:t>
      </w:r>
    </w:p>
    <w:p>
      <w:pPr>
        <w:pStyle w:val="ListParagraph"/>
        <w:numPr>
          <w:ilvl w:val="1"/>
          <w:numId w:val="1"/>
        </w:numPr>
        <w:tabs>
          <w:tab w:pos="1921" w:val="left" w:leader="none"/>
        </w:tabs>
        <w:spacing w:line="240" w:lineRule="auto" w:before="0" w:after="0"/>
        <w:ind w:left="1920" w:right="1009" w:hanging="360"/>
        <w:jc w:val="left"/>
        <w:rPr>
          <w:sz w:val="24"/>
        </w:rPr>
      </w:pPr>
      <w:r>
        <w:rPr>
          <w:sz w:val="24"/>
        </w:rPr>
        <w:t>Comparing and contrasting district and charter expenses in</w:t>
      </w:r>
      <w:r>
        <w:rPr>
          <w:spacing w:val="-24"/>
          <w:sz w:val="24"/>
        </w:rPr>
        <w:t> </w:t>
      </w:r>
      <w:r>
        <w:rPr>
          <w:sz w:val="24"/>
        </w:rPr>
        <w:t>the Classroom</w:t>
      </w:r>
    </w:p>
    <w:p>
      <w:pPr>
        <w:pStyle w:val="ListParagraph"/>
        <w:numPr>
          <w:ilvl w:val="0"/>
          <w:numId w:val="1"/>
        </w:numPr>
        <w:tabs>
          <w:tab w:pos="1201" w:val="left" w:leader="none"/>
        </w:tabs>
        <w:spacing w:line="283" w:lineRule="exact" w:before="4" w:after="0"/>
        <w:ind w:left="1200" w:right="0" w:hanging="360"/>
        <w:jc w:val="left"/>
        <w:rPr>
          <w:sz w:val="24"/>
        </w:rPr>
      </w:pPr>
      <w:r>
        <w:rPr>
          <w:sz w:val="24"/>
        </w:rPr>
        <w:t>Academic</w:t>
      </w:r>
      <w:r>
        <w:rPr>
          <w:spacing w:val="-22"/>
          <w:sz w:val="24"/>
        </w:rPr>
        <w:t> </w:t>
      </w:r>
      <w:r>
        <w:rPr>
          <w:sz w:val="24"/>
        </w:rPr>
        <w:t>Performance</w:t>
      </w:r>
    </w:p>
    <w:p>
      <w:pPr>
        <w:pStyle w:val="ListParagraph"/>
        <w:numPr>
          <w:ilvl w:val="1"/>
          <w:numId w:val="1"/>
        </w:numPr>
        <w:tabs>
          <w:tab w:pos="1921" w:val="left" w:leader="none"/>
        </w:tabs>
        <w:spacing w:line="266" w:lineRule="exact" w:before="0" w:after="0"/>
        <w:ind w:left="1920" w:right="0" w:hanging="360"/>
        <w:jc w:val="left"/>
        <w:rPr>
          <w:sz w:val="24"/>
        </w:rPr>
      </w:pPr>
      <w:r>
        <w:rPr>
          <w:sz w:val="24"/>
        </w:rPr>
        <w:t>Grading Schools for Traditional and Alternative</w:t>
      </w:r>
      <w:r>
        <w:rPr>
          <w:spacing w:val="-43"/>
          <w:sz w:val="24"/>
        </w:rPr>
        <w:t> </w:t>
      </w:r>
      <w:r>
        <w:rPr>
          <w:sz w:val="24"/>
        </w:rPr>
        <w:t>Charters</w:t>
      </w:r>
    </w:p>
    <w:p>
      <w:pPr>
        <w:pStyle w:val="ListParagraph"/>
        <w:numPr>
          <w:ilvl w:val="1"/>
          <w:numId w:val="1"/>
        </w:numPr>
        <w:tabs>
          <w:tab w:pos="1921" w:val="left" w:leader="none"/>
        </w:tabs>
        <w:spacing w:line="240" w:lineRule="auto" w:before="0" w:after="0"/>
        <w:ind w:left="1920" w:right="0" w:hanging="360"/>
        <w:jc w:val="left"/>
        <w:rPr>
          <w:sz w:val="24"/>
        </w:rPr>
      </w:pPr>
      <w:r>
        <w:rPr>
          <w:sz w:val="24"/>
        </w:rPr>
        <w:t>Studies comparing similar students in Charters and</w:t>
      </w:r>
      <w:r>
        <w:rPr>
          <w:spacing w:val="-42"/>
          <w:sz w:val="24"/>
        </w:rPr>
        <w:t> </w:t>
      </w:r>
      <w:r>
        <w:rPr>
          <w:sz w:val="24"/>
        </w:rPr>
        <w:t>Districts</w:t>
      </w:r>
    </w:p>
    <w:p>
      <w:pPr>
        <w:pStyle w:val="ListParagraph"/>
        <w:numPr>
          <w:ilvl w:val="0"/>
          <w:numId w:val="1"/>
        </w:numPr>
        <w:tabs>
          <w:tab w:pos="1201" w:val="left" w:leader="none"/>
        </w:tabs>
        <w:spacing w:line="287" w:lineRule="exact" w:before="3" w:after="0"/>
        <w:ind w:left="1200" w:right="0" w:hanging="360"/>
        <w:jc w:val="left"/>
        <w:rPr>
          <w:sz w:val="24"/>
        </w:rPr>
      </w:pPr>
      <w:r>
        <w:rPr>
          <w:sz w:val="24"/>
        </w:rPr>
        <w:t>Reconciling Inconsistent</w:t>
      </w:r>
      <w:r>
        <w:rPr>
          <w:spacing w:val="-21"/>
          <w:sz w:val="24"/>
        </w:rPr>
        <w:t> </w:t>
      </w:r>
      <w:r>
        <w:rPr>
          <w:sz w:val="24"/>
        </w:rPr>
        <w:t>Financials</w:t>
      </w:r>
    </w:p>
    <w:p>
      <w:pPr>
        <w:pStyle w:val="ListParagraph"/>
        <w:numPr>
          <w:ilvl w:val="1"/>
          <w:numId w:val="1"/>
        </w:numPr>
        <w:tabs>
          <w:tab w:pos="1921" w:val="left" w:leader="none"/>
        </w:tabs>
        <w:spacing w:line="240" w:lineRule="auto" w:before="0" w:after="0"/>
        <w:ind w:left="1920" w:right="197" w:hanging="360"/>
        <w:jc w:val="left"/>
        <w:rPr>
          <w:sz w:val="24"/>
        </w:rPr>
      </w:pPr>
      <w:r>
        <w:rPr>
          <w:sz w:val="24"/>
        </w:rPr>
        <w:t>Examples of inconsistent reporting on state financial reports</w:t>
      </w:r>
      <w:r>
        <w:rPr>
          <w:spacing w:val="-23"/>
          <w:sz w:val="24"/>
        </w:rPr>
        <w:t> </w:t>
      </w:r>
      <w:r>
        <w:rPr>
          <w:sz w:val="24"/>
        </w:rPr>
        <w:t>compared to</w:t>
      </w:r>
      <w:r>
        <w:rPr>
          <w:spacing w:val="-4"/>
          <w:sz w:val="24"/>
        </w:rPr>
        <w:t> </w:t>
      </w:r>
      <w:r>
        <w:rPr>
          <w:sz w:val="24"/>
        </w:rPr>
        <w:t>audits</w:t>
      </w:r>
    </w:p>
    <w:p>
      <w:pPr>
        <w:pStyle w:val="ListParagraph"/>
        <w:numPr>
          <w:ilvl w:val="1"/>
          <w:numId w:val="1"/>
        </w:numPr>
        <w:tabs>
          <w:tab w:pos="1921" w:val="left" w:leader="none"/>
        </w:tabs>
        <w:spacing w:line="237" w:lineRule="auto" w:before="18" w:after="0"/>
        <w:ind w:left="1920" w:right="490" w:hanging="360"/>
        <w:jc w:val="left"/>
        <w:rPr>
          <w:sz w:val="24"/>
        </w:rPr>
      </w:pPr>
      <w:r>
        <w:rPr>
          <w:sz w:val="24"/>
        </w:rPr>
        <w:t>The reporting of Administrative costs on the AFRs, audits, IRS</w:t>
      </w:r>
      <w:r>
        <w:rPr>
          <w:spacing w:val="-23"/>
          <w:sz w:val="24"/>
        </w:rPr>
        <w:t> </w:t>
      </w:r>
      <w:r>
        <w:rPr>
          <w:sz w:val="24"/>
        </w:rPr>
        <w:t>990s with an eye towards disparities in those</w:t>
      </w:r>
      <w:r>
        <w:rPr>
          <w:spacing w:val="-40"/>
          <w:sz w:val="24"/>
        </w:rPr>
        <w:t> </w:t>
      </w:r>
      <w:r>
        <w:rPr>
          <w:sz w:val="24"/>
        </w:rPr>
        <w:t>reports.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r>
        <w:rPr/>
        <w:pict>
          <v:line style="position:absolute;mso-position-horizontal-relative:page;mso-position-vertical-relative:paragraph;z-index:1144;mso-wrap-distance-left:0;mso-wrap-distance-right:0" from="72pt,12.90512pt" to="216pt,12.90512pt" stroked="true" strokeweight=".72pt" strokecolor="#000000">
            <v:stroke dashstyle="solid"/>
            <w10:wrap type="topAndBottom"/>
          </v:line>
        </w:pict>
      </w:r>
    </w:p>
    <w:p>
      <w:pPr>
        <w:spacing w:before="54"/>
        <w:ind w:left="120" w:right="0" w:firstLine="0"/>
        <w:jc w:val="left"/>
        <w:rPr>
          <w:rFonts w:ascii="Calibri"/>
          <w:sz w:val="20"/>
        </w:rPr>
      </w:pPr>
      <w:bookmarkStart w:name="_bookmark7" w:id="8"/>
      <w:bookmarkEnd w:id="8"/>
      <w:r>
        <w:rPr/>
      </w:r>
      <w:r>
        <w:rPr>
          <w:rFonts w:ascii="Calibri"/>
          <w:position w:val="7"/>
          <w:sz w:val="13"/>
        </w:rPr>
        <w:t>4 </w:t>
      </w:r>
      <w:r>
        <w:rPr>
          <w:rFonts w:ascii="Calibri"/>
          <w:sz w:val="20"/>
        </w:rPr>
        <w:t>The declared method is the stated (on the audit and to IRS) method used to determine these compensation</w:t>
      </w:r>
    </w:p>
    <w:p>
      <w:pPr>
        <w:spacing w:before="0"/>
        <w:ind w:left="120" w:right="113" w:firstLine="0"/>
        <w:jc w:val="left"/>
        <w:rPr>
          <w:rFonts w:ascii="Calibri" w:hAnsi="Calibri"/>
          <w:sz w:val="20"/>
        </w:rPr>
      </w:pPr>
      <w:r>
        <w:rPr>
          <w:rFonts w:ascii="Calibri" w:hAnsi="Calibri"/>
          <w:sz w:val="20"/>
        </w:rPr>
        <w:t>levels. By comparing schools of 350 to compensation at districts exceeding 20,000 the charter holder “justifies” their claim to a salary that is inconsistent with the business’ size.</w:t>
      </w:r>
    </w:p>
    <w:p>
      <w:pPr>
        <w:spacing w:line="247" w:lineRule="exact" w:before="0"/>
        <w:ind w:left="120" w:right="0" w:firstLine="0"/>
        <w:jc w:val="left"/>
        <w:rPr>
          <w:rFonts w:ascii="Calibri" w:hAnsi="Calibri"/>
          <w:sz w:val="20"/>
        </w:rPr>
      </w:pPr>
      <w:bookmarkStart w:name="_bookmark8" w:id="9"/>
      <w:bookmarkEnd w:id="9"/>
      <w:r>
        <w:rPr/>
      </w:r>
      <w:r>
        <w:rPr>
          <w:rFonts w:ascii="Calibri" w:hAnsi="Calibri"/>
          <w:position w:val="7"/>
          <w:sz w:val="13"/>
        </w:rPr>
        <w:t>5 </w:t>
      </w:r>
      <w:r>
        <w:rPr>
          <w:rFonts w:ascii="Calibri" w:hAnsi="Calibri"/>
          <w:sz w:val="20"/>
        </w:rPr>
        <w:t>Owners’ Equity is an auditing term used in the balance sheets of for profit companies.</w:t>
      </w:r>
    </w:p>
    <w:p>
      <w:pPr>
        <w:spacing w:after="0" w:line="247" w:lineRule="exact"/>
        <w:jc w:val="left"/>
        <w:rPr>
          <w:rFonts w:ascii="Calibri" w:hAnsi="Calibri"/>
          <w:sz w:val="20"/>
        </w:rPr>
        <w:sectPr>
          <w:footerReference w:type="default" r:id="rId9"/>
          <w:pgSz w:w="12240" w:h="15840"/>
          <w:pgMar w:footer="1002" w:header="740" w:top="940" w:bottom="1200" w:left="1320" w:right="1320"/>
          <w:pgNumType w:start="10"/>
        </w:sectPr>
      </w:pPr>
    </w:p>
    <w:p>
      <w:pPr>
        <w:pStyle w:val="BodyText"/>
        <w:rPr>
          <w:rFonts w:ascii="Calibri"/>
          <w:sz w:val="20"/>
        </w:rPr>
      </w:pPr>
    </w:p>
    <w:p>
      <w:pPr>
        <w:pStyle w:val="BodyText"/>
        <w:rPr>
          <w:rFonts w:ascii="Calibri"/>
          <w:sz w:val="20"/>
        </w:rPr>
      </w:pPr>
    </w:p>
    <w:p>
      <w:pPr>
        <w:pStyle w:val="BodyText"/>
        <w:spacing w:before="4" w:after="1"/>
        <w:rPr>
          <w:rFonts w:ascii="Calibri"/>
          <w:sz w:val="20"/>
        </w:rPr>
      </w:pPr>
    </w:p>
    <w:p>
      <w:pPr>
        <w:pStyle w:val="BodyText"/>
        <w:ind w:left="2634"/>
        <w:rPr>
          <w:rFonts w:ascii="Calibri"/>
          <w:sz w:val="20"/>
        </w:rPr>
      </w:pPr>
      <w:r>
        <w:rPr>
          <w:rFonts w:ascii="Calibri"/>
          <w:sz w:val="20"/>
        </w:rPr>
        <w:drawing>
          <wp:inline distT="0" distB="0" distL="0" distR="0">
            <wp:extent cx="2714828" cy="910494"/>
            <wp:effectExtent l="0" t="0" r="0" b="0"/>
            <wp:docPr id="3" name="image2.png" descr=""/>
            <wp:cNvGraphicFramePr>
              <a:graphicFrameLocks noChangeAspect="1"/>
            </wp:cNvGraphicFramePr>
            <a:graphic>
              <a:graphicData uri="http://schemas.openxmlformats.org/drawingml/2006/picture">
                <pic:pic>
                  <pic:nvPicPr>
                    <pic:cNvPr id="4" name="image2.png"/>
                    <pic:cNvPicPr/>
                  </pic:nvPicPr>
                  <pic:blipFill>
                    <a:blip r:embed="rId10" cstate="print"/>
                    <a:stretch>
                      <a:fillRect/>
                    </a:stretch>
                  </pic:blipFill>
                  <pic:spPr>
                    <a:xfrm>
                      <a:off x="0" y="0"/>
                      <a:ext cx="2714828" cy="910494"/>
                    </a:xfrm>
                    <a:prstGeom prst="rect">
                      <a:avLst/>
                    </a:prstGeom>
                  </pic:spPr>
                </pic:pic>
              </a:graphicData>
            </a:graphic>
          </wp:inline>
        </w:drawing>
      </w:r>
      <w:r>
        <w:rPr>
          <w:rFonts w:ascii="Calibri"/>
          <w:sz w:val="20"/>
        </w:rPr>
      </w:r>
    </w:p>
    <w:p>
      <w:pPr>
        <w:pStyle w:val="BodyText"/>
        <w:rPr>
          <w:rFonts w:ascii="Calibri"/>
          <w:sz w:val="20"/>
        </w:rPr>
      </w:pPr>
    </w:p>
    <w:p>
      <w:pPr>
        <w:pStyle w:val="BodyText"/>
        <w:spacing w:before="4"/>
        <w:rPr>
          <w:rFonts w:ascii="Calibri"/>
          <w:sz w:val="15"/>
        </w:rPr>
      </w:pPr>
    </w:p>
    <w:p>
      <w:pPr>
        <w:tabs>
          <w:tab w:pos="2260" w:val="left" w:leader="none"/>
        </w:tabs>
        <w:spacing w:line="276" w:lineRule="auto" w:before="93"/>
        <w:ind w:left="2260" w:right="109" w:hanging="2160"/>
        <w:jc w:val="both"/>
        <w:rPr>
          <w:b/>
          <w:sz w:val="22"/>
        </w:rPr>
      </w:pPr>
      <w:bookmarkStart w:name="_bookmark9" w:id="10"/>
      <w:bookmarkEnd w:id="10"/>
      <w:r>
        <w:rPr/>
      </w:r>
      <w:r>
        <w:rPr>
          <w:b/>
          <w:sz w:val="22"/>
        </w:rPr>
        <w:t>Finding</w:t>
      </w:r>
      <w:r>
        <w:rPr>
          <w:sz w:val="22"/>
        </w:rPr>
        <w:t>:</w:t>
        <w:tab/>
      </w:r>
      <w:r>
        <w:rPr>
          <w:b/>
          <w:sz w:val="22"/>
        </w:rPr>
        <w:t>Related-party dealings are the </w:t>
      </w:r>
      <w:r>
        <w:rPr>
          <w:b/>
          <w:spacing w:val="26"/>
          <w:sz w:val="22"/>
        </w:rPr>
        <w:t> </w:t>
      </w:r>
      <w:r>
        <w:rPr>
          <w:b/>
          <w:sz w:val="22"/>
        </w:rPr>
        <w:t>modus  operandi  of  three-fourths</w:t>
      </w:r>
      <w:r>
        <w:rPr>
          <w:b/>
          <w:spacing w:val="40"/>
          <w:sz w:val="22"/>
        </w:rPr>
        <w:t> </w:t>
      </w:r>
      <w:r>
        <w:rPr>
          <w:b/>
          <w:spacing w:val="-3"/>
          <w:sz w:val="22"/>
        </w:rPr>
        <w:t>of</w:t>
      </w:r>
      <w:r>
        <w:rPr>
          <w:b/>
          <w:spacing w:val="-3"/>
          <w:w w:val="100"/>
          <w:sz w:val="22"/>
        </w:rPr>
        <w:t> </w:t>
      </w:r>
      <w:r>
        <w:rPr>
          <w:b/>
          <w:sz w:val="22"/>
        </w:rPr>
        <w:t>the charters evaluated. While these transactions can offer cost savings to charter schools they are often used for self-enrichment. Ninety-five percent of charters have sought and received permission to bypass regulations public district schools must follow regarding related-party transactions and open bidding</w:t>
      </w:r>
      <w:r>
        <w:rPr>
          <w:b/>
          <w:spacing w:val="-33"/>
          <w:sz w:val="22"/>
        </w:rPr>
        <w:t> </w:t>
      </w:r>
      <w:r>
        <w:rPr>
          <w:b/>
          <w:sz w:val="22"/>
        </w:rPr>
        <w:t>processes.</w:t>
      </w:r>
    </w:p>
    <w:p>
      <w:pPr>
        <w:pStyle w:val="BodyText"/>
        <w:spacing w:line="276" w:lineRule="auto" w:before="204"/>
        <w:ind w:left="100" w:right="111"/>
        <w:jc w:val="both"/>
      </w:pPr>
      <w:r>
        <w:rPr/>
        <w:t>More than 77% of charter schools conduct business with related parties--companies</w:t>
      </w:r>
      <w:r>
        <w:rPr>
          <w:spacing w:val="-37"/>
        </w:rPr>
        <w:t> </w:t>
      </w:r>
      <w:r>
        <w:rPr/>
        <w:t>that employ a family member of the charter holder, or the charter holder him or herself. In addition, the boards at these subsidiary for-profit companies are often the same individuals</w:t>
      </w:r>
      <w:r>
        <w:rPr>
          <w:spacing w:val="-16"/>
        </w:rPr>
        <w:t> </w:t>
      </w:r>
      <w:r>
        <w:rPr/>
        <w:t>that</w:t>
      </w:r>
      <w:r>
        <w:rPr>
          <w:spacing w:val="-14"/>
        </w:rPr>
        <w:t> </w:t>
      </w:r>
      <w:r>
        <w:rPr/>
        <w:t>are</w:t>
      </w:r>
      <w:r>
        <w:rPr>
          <w:spacing w:val="-17"/>
        </w:rPr>
        <w:t> </w:t>
      </w:r>
      <w:r>
        <w:rPr/>
        <w:t>on</w:t>
      </w:r>
      <w:r>
        <w:rPr>
          <w:spacing w:val="-16"/>
        </w:rPr>
        <w:t> </w:t>
      </w:r>
      <w:r>
        <w:rPr/>
        <w:t>the</w:t>
      </w:r>
      <w:r>
        <w:rPr>
          <w:spacing w:val="-14"/>
        </w:rPr>
        <w:t> </w:t>
      </w:r>
      <w:r>
        <w:rPr/>
        <w:t>charter’s</w:t>
      </w:r>
      <w:r>
        <w:rPr>
          <w:spacing w:val="-15"/>
        </w:rPr>
        <w:t> </w:t>
      </w:r>
      <w:r>
        <w:rPr/>
        <w:t>corporate</w:t>
      </w:r>
      <w:r>
        <w:rPr>
          <w:spacing w:val="-18"/>
        </w:rPr>
        <w:t> </w:t>
      </w:r>
      <w:r>
        <w:rPr/>
        <w:t>board.</w:t>
      </w:r>
      <w:r>
        <w:rPr>
          <w:spacing w:val="-19"/>
        </w:rPr>
        <w:t> </w:t>
      </w:r>
      <w:r>
        <w:rPr/>
        <w:t>The</w:t>
      </w:r>
      <w:r>
        <w:rPr>
          <w:spacing w:val="-16"/>
        </w:rPr>
        <w:t> </w:t>
      </w:r>
      <w:r>
        <w:rPr/>
        <w:t>corporate</w:t>
      </w:r>
      <w:r>
        <w:rPr>
          <w:spacing w:val="-16"/>
        </w:rPr>
        <w:t> </w:t>
      </w:r>
      <w:r>
        <w:rPr/>
        <w:t>boards</w:t>
      </w:r>
      <w:r>
        <w:rPr>
          <w:spacing w:val="-17"/>
        </w:rPr>
        <w:t> </w:t>
      </w:r>
      <w:r>
        <w:rPr/>
        <w:t>are</w:t>
      </w:r>
      <w:r>
        <w:rPr>
          <w:spacing w:val="-15"/>
        </w:rPr>
        <w:t> </w:t>
      </w:r>
      <w:r>
        <w:rPr/>
        <w:t>appointed. This is the polar opposite of a public school board where the open seats are filled with elected members from the</w:t>
      </w:r>
      <w:r>
        <w:rPr>
          <w:spacing w:val="-31"/>
        </w:rPr>
        <w:t> </w:t>
      </w:r>
      <w:r>
        <w:rPr/>
        <w:t>community.</w:t>
      </w:r>
    </w:p>
    <w:p>
      <w:pPr>
        <w:pStyle w:val="BodyText"/>
        <w:spacing w:line="276" w:lineRule="auto" w:before="202"/>
        <w:ind w:left="100" w:right="119"/>
        <w:jc w:val="both"/>
      </w:pPr>
      <w:r>
        <w:rPr/>
        <w:t>Arizona law allows the following configuration of charter holders and corporate boards (ARS §15-181 to §15-189):</w:t>
      </w:r>
    </w:p>
    <w:p>
      <w:pPr>
        <w:pStyle w:val="ListParagraph"/>
        <w:numPr>
          <w:ilvl w:val="0"/>
          <w:numId w:val="2"/>
        </w:numPr>
        <w:tabs>
          <w:tab w:pos="820" w:val="left" w:leader="none"/>
          <w:tab w:pos="821" w:val="left" w:leader="none"/>
        </w:tabs>
        <w:spacing w:line="240" w:lineRule="auto" w:before="200" w:after="0"/>
        <w:ind w:left="820" w:right="0" w:hanging="360"/>
        <w:jc w:val="left"/>
        <w:rPr>
          <w:sz w:val="24"/>
        </w:rPr>
      </w:pPr>
      <w:r>
        <w:rPr>
          <w:sz w:val="24"/>
        </w:rPr>
        <w:t>Corporate Boards that are composed of one person, the charter</w:t>
      </w:r>
      <w:r>
        <w:rPr>
          <w:spacing w:val="-53"/>
          <w:sz w:val="24"/>
        </w:rPr>
        <w:t> </w:t>
      </w:r>
      <w:r>
        <w:rPr>
          <w:sz w:val="24"/>
        </w:rPr>
        <w:t>holder.</w:t>
      </w:r>
    </w:p>
    <w:p>
      <w:pPr>
        <w:pStyle w:val="ListParagraph"/>
        <w:numPr>
          <w:ilvl w:val="0"/>
          <w:numId w:val="2"/>
        </w:numPr>
        <w:tabs>
          <w:tab w:pos="820" w:val="left" w:leader="none"/>
          <w:tab w:pos="821" w:val="left" w:leader="none"/>
        </w:tabs>
        <w:spacing w:line="268" w:lineRule="auto" w:before="34" w:after="0"/>
        <w:ind w:left="820" w:right="280" w:hanging="360"/>
        <w:jc w:val="left"/>
        <w:rPr>
          <w:sz w:val="24"/>
        </w:rPr>
      </w:pPr>
      <w:r>
        <w:rPr>
          <w:sz w:val="24"/>
        </w:rPr>
        <w:t>Corporate Boards that are composed of two people, husband and wife who also hold the</w:t>
      </w:r>
      <w:r>
        <w:rPr>
          <w:spacing w:val="-11"/>
          <w:sz w:val="24"/>
        </w:rPr>
        <w:t> </w:t>
      </w:r>
      <w:r>
        <w:rPr>
          <w:sz w:val="24"/>
        </w:rPr>
        <w:t>charter.</w:t>
      </w:r>
    </w:p>
    <w:p>
      <w:pPr>
        <w:pStyle w:val="ListParagraph"/>
        <w:numPr>
          <w:ilvl w:val="0"/>
          <w:numId w:val="2"/>
        </w:numPr>
        <w:tabs>
          <w:tab w:pos="820" w:val="left" w:leader="none"/>
          <w:tab w:pos="821" w:val="left" w:leader="none"/>
        </w:tabs>
        <w:spacing w:line="240" w:lineRule="auto" w:before="9" w:after="0"/>
        <w:ind w:left="820" w:right="0" w:hanging="360"/>
        <w:jc w:val="left"/>
        <w:rPr>
          <w:sz w:val="24"/>
        </w:rPr>
      </w:pPr>
      <w:r>
        <w:rPr>
          <w:sz w:val="24"/>
        </w:rPr>
        <w:t>Corporate Boards that are composed of two charter holder</w:t>
      </w:r>
      <w:r>
        <w:rPr>
          <w:spacing w:val="-48"/>
          <w:sz w:val="24"/>
        </w:rPr>
        <w:t> </w:t>
      </w:r>
      <w:r>
        <w:rPr>
          <w:sz w:val="24"/>
        </w:rPr>
        <w:t>couples.</w:t>
      </w:r>
    </w:p>
    <w:p>
      <w:pPr>
        <w:pStyle w:val="ListParagraph"/>
        <w:numPr>
          <w:ilvl w:val="0"/>
          <w:numId w:val="2"/>
        </w:numPr>
        <w:tabs>
          <w:tab w:pos="820" w:val="left" w:leader="none"/>
          <w:tab w:pos="821" w:val="left" w:leader="none"/>
        </w:tabs>
        <w:spacing w:line="240" w:lineRule="auto" w:before="34" w:after="0"/>
        <w:ind w:left="820" w:right="0" w:hanging="360"/>
        <w:jc w:val="left"/>
        <w:rPr>
          <w:sz w:val="24"/>
        </w:rPr>
      </w:pPr>
      <w:r>
        <w:rPr>
          <w:sz w:val="24"/>
        </w:rPr>
        <w:t>Corporate Boards filled with relatives and owners of related party</w:t>
      </w:r>
      <w:r>
        <w:rPr>
          <w:spacing w:val="-51"/>
          <w:sz w:val="24"/>
        </w:rPr>
        <w:t> </w:t>
      </w:r>
      <w:r>
        <w:rPr>
          <w:sz w:val="24"/>
        </w:rPr>
        <w:t>businesses.</w:t>
      </w:r>
    </w:p>
    <w:p>
      <w:pPr>
        <w:pStyle w:val="ListParagraph"/>
        <w:numPr>
          <w:ilvl w:val="0"/>
          <w:numId w:val="2"/>
        </w:numPr>
        <w:tabs>
          <w:tab w:pos="820" w:val="left" w:leader="none"/>
          <w:tab w:pos="821" w:val="left" w:leader="none"/>
        </w:tabs>
        <w:spacing w:line="240" w:lineRule="auto" w:before="37" w:after="0"/>
        <w:ind w:left="820" w:right="0" w:hanging="360"/>
        <w:jc w:val="left"/>
        <w:rPr>
          <w:sz w:val="24"/>
        </w:rPr>
      </w:pPr>
      <w:r>
        <w:rPr>
          <w:sz w:val="24"/>
        </w:rPr>
        <w:t>Corporate</w:t>
      </w:r>
      <w:r>
        <w:rPr>
          <w:spacing w:val="-4"/>
          <w:sz w:val="24"/>
        </w:rPr>
        <w:t> </w:t>
      </w:r>
      <w:r>
        <w:rPr>
          <w:sz w:val="24"/>
        </w:rPr>
        <w:t>Boards</w:t>
      </w:r>
      <w:r>
        <w:rPr>
          <w:spacing w:val="-3"/>
          <w:sz w:val="24"/>
        </w:rPr>
        <w:t> </w:t>
      </w:r>
      <w:r>
        <w:rPr>
          <w:sz w:val="24"/>
        </w:rPr>
        <w:t>where</w:t>
      </w:r>
      <w:r>
        <w:rPr>
          <w:spacing w:val="-3"/>
          <w:sz w:val="24"/>
        </w:rPr>
        <w:t> </w:t>
      </w:r>
      <w:r>
        <w:rPr>
          <w:sz w:val="24"/>
        </w:rPr>
        <w:t>the</w:t>
      </w:r>
      <w:r>
        <w:rPr>
          <w:spacing w:val="-3"/>
          <w:sz w:val="24"/>
        </w:rPr>
        <w:t> </w:t>
      </w:r>
      <w:r>
        <w:rPr>
          <w:sz w:val="24"/>
        </w:rPr>
        <w:t>charter</w:t>
      </w:r>
      <w:r>
        <w:rPr>
          <w:spacing w:val="-3"/>
          <w:sz w:val="24"/>
        </w:rPr>
        <w:t> </w:t>
      </w:r>
      <w:r>
        <w:rPr>
          <w:sz w:val="24"/>
        </w:rPr>
        <w:t>holder</w:t>
      </w:r>
      <w:r>
        <w:rPr>
          <w:spacing w:val="-3"/>
          <w:sz w:val="24"/>
        </w:rPr>
        <w:t> </w:t>
      </w:r>
      <w:r>
        <w:rPr>
          <w:sz w:val="24"/>
        </w:rPr>
        <w:t>is</w:t>
      </w:r>
      <w:r>
        <w:rPr>
          <w:spacing w:val="-3"/>
          <w:sz w:val="24"/>
        </w:rPr>
        <w:t> </w:t>
      </w:r>
      <w:r>
        <w:rPr>
          <w:sz w:val="24"/>
        </w:rPr>
        <w:t>the</w:t>
      </w:r>
      <w:r>
        <w:rPr>
          <w:spacing w:val="-5"/>
          <w:sz w:val="24"/>
        </w:rPr>
        <w:t> </w:t>
      </w:r>
      <w:r>
        <w:rPr>
          <w:sz w:val="24"/>
        </w:rPr>
        <w:t>board</w:t>
      </w:r>
      <w:r>
        <w:rPr>
          <w:spacing w:val="-3"/>
          <w:sz w:val="24"/>
        </w:rPr>
        <w:t> </w:t>
      </w:r>
      <w:r>
        <w:rPr>
          <w:sz w:val="24"/>
        </w:rPr>
        <w:t>chair</w:t>
      </w:r>
      <w:r>
        <w:rPr>
          <w:spacing w:val="-5"/>
          <w:sz w:val="24"/>
        </w:rPr>
        <w:t> </w:t>
      </w:r>
      <w:r>
        <w:rPr>
          <w:sz w:val="24"/>
        </w:rPr>
        <w:t>/</w:t>
      </w:r>
      <w:r>
        <w:rPr>
          <w:spacing w:val="-31"/>
          <w:sz w:val="24"/>
        </w:rPr>
        <w:t> </w:t>
      </w:r>
      <w:r>
        <w:rPr>
          <w:sz w:val="24"/>
        </w:rPr>
        <w:t>president.</w:t>
      </w:r>
    </w:p>
    <w:p>
      <w:pPr>
        <w:pStyle w:val="ListParagraph"/>
        <w:numPr>
          <w:ilvl w:val="0"/>
          <w:numId w:val="2"/>
        </w:numPr>
        <w:tabs>
          <w:tab w:pos="820" w:val="left" w:leader="none"/>
          <w:tab w:pos="821" w:val="left" w:leader="none"/>
        </w:tabs>
        <w:spacing w:line="240" w:lineRule="auto" w:before="37" w:after="0"/>
        <w:ind w:left="820" w:right="0" w:hanging="360"/>
        <w:jc w:val="left"/>
        <w:rPr>
          <w:sz w:val="24"/>
        </w:rPr>
      </w:pPr>
      <w:r>
        <w:rPr>
          <w:sz w:val="24"/>
        </w:rPr>
        <w:t>Corporate Boards and charter holders that do not reside in</w:t>
      </w:r>
      <w:r>
        <w:rPr>
          <w:spacing w:val="-50"/>
          <w:sz w:val="24"/>
        </w:rPr>
        <w:t> </w:t>
      </w:r>
      <w:r>
        <w:rPr>
          <w:sz w:val="24"/>
        </w:rPr>
        <w:t>Arizona.</w:t>
      </w:r>
    </w:p>
    <w:p>
      <w:pPr>
        <w:pStyle w:val="ListParagraph"/>
        <w:numPr>
          <w:ilvl w:val="0"/>
          <w:numId w:val="2"/>
        </w:numPr>
        <w:tabs>
          <w:tab w:pos="821" w:val="left" w:leader="none"/>
        </w:tabs>
        <w:spacing w:line="273" w:lineRule="auto" w:before="39" w:after="0"/>
        <w:ind w:left="820" w:right="114" w:hanging="360"/>
        <w:jc w:val="both"/>
        <w:rPr>
          <w:sz w:val="24"/>
        </w:rPr>
      </w:pPr>
      <w:r>
        <w:rPr>
          <w:sz w:val="24"/>
        </w:rPr>
        <w:t>Corporate Boards that are the same for related-party subsidiaries dealing</w:t>
      </w:r>
      <w:r>
        <w:rPr>
          <w:spacing w:val="-34"/>
          <w:sz w:val="24"/>
        </w:rPr>
        <w:t> </w:t>
      </w:r>
      <w:r>
        <w:rPr>
          <w:sz w:val="24"/>
        </w:rPr>
        <w:t>with the non-profit charter. Salaries, bonuses and distributions from these subsidiaries are not reported on the Audits. Money moving to the subsidiaries is noted in the Related-Party section of the</w:t>
      </w:r>
      <w:r>
        <w:rPr>
          <w:spacing w:val="-21"/>
          <w:sz w:val="24"/>
        </w:rPr>
        <w:t> </w:t>
      </w:r>
      <w:r>
        <w:rPr>
          <w:sz w:val="24"/>
        </w:rPr>
        <w:t>Audit.</w:t>
      </w:r>
    </w:p>
    <w:p>
      <w:pPr>
        <w:pStyle w:val="BodyText"/>
        <w:spacing w:line="247" w:lineRule="auto" w:before="12"/>
        <w:ind w:left="1540" w:right="381" w:hanging="360"/>
      </w:pPr>
      <w:r>
        <w:rPr>
          <w:rFonts w:ascii="Courier New"/>
        </w:rPr>
        <w:t>o </w:t>
      </w:r>
      <w:r>
        <w:rPr/>
        <w:t>Related-Party Transactions that were present on the Audit were not always included in IRS Form 990 for the same firm.</w:t>
      </w:r>
    </w:p>
    <w:p>
      <w:pPr>
        <w:pStyle w:val="BodyText"/>
        <w:spacing w:before="4"/>
        <w:rPr>
          <w:sz w:val="20"/>
        </w:rPr>
      </w:pPr>
    </w:p>
    <w:p>
      <w:pPr>
        <w:pStyle w:val="BodyText"/>
        <w:ind w:left="100"/>
        <w:jc w:val="both"/>
      </w:pPr>
      <w:r>
        <w:rPr/>
        <w:t>This financial and governance issue manifests as:</w:t>
      </w:r>
    </w:p>
    <w:p>
      <w:pPr>
        <w:pStyle w:val="BodyText"/>
        <w:spacing w:before="4"/>
        <w:rPr>
          <w:sz w:val="20"/>
        </w:rPr>
      </w:pPr>
    </w:p>
    <w:p>
      <w:pPr>
        <w:pStyle w:val="ListParagraph"/>
        <w:numPr>
          <w:ilvl w:val="0"/>
          <w:numId w:val="3"/>
        </w:numPr>
        <w:tabs>
          <w:tab w:pos="820" w:val="left" w:leader="none"/>
          <w:tab w:pos="821" w:val="left" w:leader="none"/>
        </w:tabs>
        <w:spacing w:line="240" w:lineRule="auto" w:before="1" w:after="0"/>
        <w:ind w:left="820" w:right="0" w:hanging="360"/>
        <w:jc w:val="left"/>
        <w:rPr>
          <w:sz w:val="24"/>
        </w:rPr>
      </w:pPr>
      <w:r>
        <w:rPr>
          <w:sz w:val="24"/>
        </w:rPr>
        <w:t>Leases with a related for-profit subsidiary or</w:t>
      </w:r>
      <w:r>
        <w:rPr>
          <w:spacing w:val="-43"/>
          <w:sz w:val="24"/>
        </w:rPr>
        <w:t> </w:t>
      </w:r>
      <w:r>
        <w:rPr>
          <w:sz w:val="24"/>
        </w:rPr>
        <w:t>individual</w:t>
      </w: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Renting from a for-profit subsidiary or</w:t>
      </w:r>
      <w:r>
        <w:rPr>
          <w:spacing w:val="-36"/>
          <w:sz w:val="24"/>
        </w:rPr>
        <w:t> </w:t>
      </w:r>
      <w:r>
        <w:rPr>
          <w:sz w:val="24"/>
        </w:rPr>
        <w:t>individual</w:t>
      </w: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Purchasing goods and services from a related for-profit subsidiary or</w:t>
      </w:r>
      <w:r>
        <w:rPr>
          <w:spacing w:val="-56"/>
          <w:sz w:val="24"/>
        </w:rPr>
        <w:t> </w:t>
      </w:r>
      <w:r>
        <w:rPr>
          <w:sz w:val="24"/>
        </w:rPr>
        <w:t>individual</w:t>
      </w:r>
    </w:p>
    <w:p>
      <w:pPr>
        <w:spacing w:after="0" w:line="240" w:lineRule="auto"/>
        <w:jc w:val="left"/>
        <w:rPr>
          <w:sz w:val="24"/>
        </w:rPr>
        <w:sectPr>
          <w:pgSz w:w="12240" w:h="15840"/>
          <w:pgMar w:header="740" w:footer="1002" w:top="940" w:bottom="1200" w:left="1340" w:right="1320"/>
        </w:sectPr>
      </w:pPr>
    </w:p>
    <w:p>
      <w:pPr>
        <w:pStyle w:val="BodyText"/>
        <w:rPr>
          <w:sz w:val="20"/>
        </w:rPr>
      </w:pPr>
    </w:p>
    <w:p>
      <w:pPr>
        <w:pStyle w:val="BodyText"/>
        <w:spacing w:before="5"/>
        <w:rPr>
          <w:sz w:val="21"/>
        </w:rPr>
      </w:pP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Leasing employees from a related party for-profit subsidiary or</w:t>
      </w:r>
      <w:r>
        <w:rPr>
          <w:spacing w:val="-57"/>
          <w:sz w:val="24"/>
        </w:rPr>
        <w:t> </w:t>
      </w:r>
      <w:r>
        <w:rPr>
          <w:sz w:val="24"/>
        </w:rPr>
        <w:t>individual</w:t>
      </w: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Loans</w:t>
      </w:r>
      <w:r>
        <w:rPr>
          <w:spacing w:val="-2"/>
          <w:sz w:val="24"/>
        </w:rPr>
        <w:t> </w:t>
      </w:r>
      <w:r>
        <w:rPr>
          <w:sz w:val="24"/>
        </w:rPr>
        <w:t>and</w:t>
      </w:r>
      <w:r>
        <w:rPr>
          <w:spacing w:val="-2"/>
          <w:sz w:val="24"/>
        </w:rPr>
        <w:t> </w:t>
      </w:r>
      <w:r>
        <w:rPr>
          <w:sz w:val="24"/>
        </w:rPr>
        <w:t>notes</w:t>
      </w:r>
      <w:r>
        <w:rPr>
          <w:spacing w:val="-5"/>
          <w:sz w:val="24"/>
        </w:rPr>
        <w:t> </w:t>
      </w:r>
      <w:r>
        <w:rPr>
          <w:sz w:val="24"/>
        </w:rPr>
        <w:t>to</w:t>
      </w:r>
      <w:r>
        <w:rPr>
          <w:spacing w:val="-4"/>
          <w:sz w:val="24"/>
        </w:rPr>
        <w:t> </w:t>
      </w:r>
      <w:r>
        <w:rPr>
          <w:sz w:val="24"/>
        </w:rPr>
        <w:t>a</w:t>
      </w:r>
      <w:r>
        <w:rPr>
          <w:spacing w:val="-2"/>
          <w:sz w:val="24"/>
        </w:rPr>
        <w:t> </w:t>
      </w:r>
      <w:r>
        <w:rPr>
          <w:sz w:val="24"/>
        </w:rPr>
        <w:t>related-party</w:t>
      </w:r>
      <w:r>
        <w:rPr>
          <w:spacing w:val="-5"/>
          <w:sz w:val="24"/>
        </w:rPr>
        <w:t> </w:t>
      </w:r>
      <w:r>
        <w:rPr>
          <w:sz w:val="24"/>
        </w:rPr>
        <w:t>for-profit</w:t>
      </w:r>
      <w:r>
        <w:rPr>
          <w:spacing w:val="-2"/>
          <w:sz w:val="24"/>
        </w:rPr>
        <w:t> </w:t>
      </w:r>
      <w:r>
        <w:rPr>
          <w:sz w:val="24"/>
        </w:rPr>
        <w:t>subsidiary</w:t>
      </w:r>
      <w:r>
        <w:rPr>
          <w:spacing w:val="-6"/>
          <w:sz w:val="24"/>
        </w:rPr>
        <w:t> </w:t>
      </w:r>
      <w:r>
        <w:rPr>
          <w:sz w:val="24"/>
        </w:rPr>
        <w:t>or</w:t>
      </w:r>
      <w:r>
        <w:rPr>
          <w:spacing w:val="-38"/>
          <w:sz w:val="24"/>
        </w:rPr>
        <w:t> </w:t>
      </w:r>
      <w:r>
        <w:rPr>
          <w:sz w:val="24"/>
        </w:rPr>
        <w:t>individual</w:t>
      </w: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Paying</w:t>
      </w:r>
      <w:r>
        <w:rPr>
          <w:spacing w:val="-4"/>
          <w:sz w:val="24"/>
        </w:rPr>
        <w:t> </w:t>
      </w:r>
      <w:r>
        <w:rPr>
          <w:sz w:val="24"/>
        </w:rPr>
        <w:t>a</w:t>
      </w:r>
      <w:r>
        <w:rPr>
          <w:spacing w:val="-2"/>
          <w:sz w:val="24"/>
        </w:rPr>
        <w:t> </w:t>
      </w:r>
      <w:r>
        <w:rPr>
          <w:sz w:val="24"/>
        </w:rPr>
        <w:t>related</w:t>
      </w:r>
      <w:r>
        <w:rPr>
          <w:spacing w:val="-5"/>
          <w:sz w:val="24"/>
        </w:rPr>
        <w:t> </w:t>
      </w:r>
      <w:r>
        <w:rPr>
          <w:sz w:val="24"/>
        </w:rPr>
        <w:t>party</w:t>
      </w:r>
      <w:r>
        <w:rPr>
          <w:spacing w:val="-6"/>
          <w:sz w:val="24"/>
        </w:rPr>
        <w:t> </w:t>
      </w:r>
      <w:r>
        <w:rPr>
          <w:sz w:val="24"/>
        </w:rPr>
        <w:t>for</w:t>
      </w:r>
      <w:r>
        <w:rPr>
          <w:spacing w:val="-3"/>
          <w:sz w:val="24"/>
        </w:rPr>
        <w:t> </w:t>
      </w:r>
      <w:r>
        <w:rPr>
          <w:sz w:val="24"/>
        </w:rPr>
        <w:t>“board”</w:t>
      </w:r>
      <w:r>
        <w:rPr>
          <w:spacing w:val="-3"/>
          <w:sz w:val="24"/>
        </w:rPr>
        <w:t> </w:t>
      </w:r>
      <w:r>
        <w:rPr>
          <w:sz w:val="24"/>
        </w:rPr>
        <w:t>services</w:t>
      </w:r>
      <w:r>
        <w:rPr>
          <w:spacing w:val="-3"/>
          <w:sz w:val="24"/>
        </w:rPr>
        <w:t> </w:t>
      </w:r>
      <w:r>
        <w:rPr>
          <w:sz w:val="24"/>
        </w:rPr>
        <w:t>on</w:t>
      </w:r>
      <w:r>
        <w:rPr>
          <w:spacing w:val="-5"/>
          <w:sz w:val="24"/>
        </w:rPr>
        <w:t> </w:t>
      </w:r>
      <w:r>
        <w:rPr>
          <w:sz w:val="24"/>
        </w:rPr>
        <w:t>the</w:t>
      </w:r>
      <w:r>
        <w:rPr>
          <w:spacing w:val="-3"/>
          <w:sz w:val="24"/>
        </w:rPr>
        <w:t> </w:t>
      </w:r>
      <w:r>
        <w:rPr>
          <w:sz w:val="24"/>
        </w:rPr>
        <w:t>corporate</w:t>
      </w:r>
      <w:r>
        <w:rPr>
          <w:spacing w:val="-28"/>
          <w:sz w:val="24"/>
        </w:rPr>
        <w:t> </w:t>
      </w:r>
      <w:r>
        <w:rPr>
          <w:sz w:val="24"/>
        </w:rPr>
        <w:t>board</w:t>
      </w:r>
    </w:p>
    <w:p>
      <w:pPr>
        <w:pStyle w:val="ListParagraph"/>
        <w:numPr>
          <w:ilvl w:val="0"/>
          <w:numId w:val="3"/>
        </w:numPr>
        <w:tabs>
          <w:tab w:pos="820" w:val="left" w:leader="none"/>
          <w:tab w:pos="821" w:val="left" w:leader="none"/>
        </w:tabs>
        <w:spacing w:line="240" w:lineRule="auto" w:before="0" w:after="0"/>
        <w:ind w:left="820" w:right="338" w:hanging="360"/>
        <w:jc w:val="left"/>
        <w:rPr>
          <w:sz w:val="24"/>
        </w:rPr>
      </w:pPr>
      <w:r>
        <w:rPr>
          <w:sz w:val="24"/>
        </w:rPr>
        <w:t>Consulting contracts to a related party, and a host of other dealings with parties related to the owners of the</w:t>
      </w:r>
      <w:r>
        <w:rPr>
          <w:spacing w:val="-25"/>
          <w:sz w:val="24"/>
        </w:rPr>
        <w:t> </w:t>
      </w:r>
      <w:r>
        <w:rPr>
          <w:sz w:val="24"/>
        </w:rPr>
        <w:t>charter.</w:t>
      </w:r>
    </w:p>
    <w:p>
      <w:pPr>
        <w:pStyle w:val="ListParagraph"/>
        <w:numPr>
          <w:ilvl w:val="0"/>
          <w:numId w:val="3"/>
        </w:numPr>
        <w:tabs>
          <w:tab w:pos="820" w:val="left" w:leader="none"/>
          <w:tab w:pos="821" w:val="left" w:leader="none"/>
        </w:tabs>
        <w:spacing w:line="240" w:lineRule="auto" w:before="0" w:after="0"/>
        <w:ind w:left="820" w:right="0" w:hanging="360"/>
        <w:jc w:val="left"/>
        <w:rPr>
          <w:sz w:val="24"/>
        </w:rPr>
      </w:pPr>
      <w:r>
        <w:rPr>
          <w:sz w:val="24"/>
        </w:rPr>
        <w:t>Multiple related-parties on the</w:t>
      </w:r>
      <w:r>
        <w:rPr>
          <w:spacing w:val="-34"/>
          <w:sz w:val="24"/>
        </w:rPr>
        <w:t> </w:t>
      </w:r>
      <w:r>
        <w:rPr>
          <w:sz w:val="24"/>
        </w:rPr>
        <w:t>payroll.</w:t>
      </w:r>
    </w:p>
    <w:p>
      <w:pPr>
        <w:pStyle w:val="BodyText"/>
        <w:spacing w:before="11"/>
        <w:rPr>
          <w:sz w:val="23"/>
        </w:rPr>
      </w:pPr>
    </w:p>
    <w:p>
      <w:pPr>
        <w:pStyle w:val="BodyText"/>
        <w:ind w:left="100" w:right="109"/>
        <w:jc w:val="both"/>
      </w:pPr>
      <w:r>
        <w:rPr/>
        <w:t>Most cases indicate excessive compensation in transactions with related-parties. When the owner configurations combine with a lack of independent oversight, most charters analyzed are making decisions that are not necessarily in the educational interests of children, but are to the owner’s self-benefit.</w:t>
      </w:r>
    </w:p>
    <w:p>
      <w:pPr>
        <w:pStyle w:val="BodyText"/>
        <w:spacing w:before="11"/>
        <w:rPr>
          <w:sz w:val="23"/>
        </w:rPr>
      </w:pPr>
    </w:p>
    <w:p>
      <w:pPr>
        <w:pStyle w:val="BodyText"/>
        <w:ind w:left="100" w:right="105"/>
        <w:jc w:val="both"/>
      </w:pPr>
      <w:r>
        <w:rPr>
          <w:b/>
        </w:rPr>
        <w:t>Related</w:t>
      </w:r>
      <w:r>
        <w:rPr>
          <w:b/>
          <w:spacing w:val="-13"/>
        </w:rPr>
        <w:t> </w:t>
      </w:r>
      <w:r>
        <w:rPr>
          <w:b/>
        </w:rPr>
        <w:t>Parties</w:t>
      </w:r>
      <w:r>
        <w:rPr>
          <w:b/>
          <w:spacing w:val="-12"/>
        </w:rPr>
        <w:t> </w:t>
      </w:r>
      <w:r>
        <w:rPr>
          <w:b/>
        </w:rPr>
        <w:t>Defined:</w:t>
      </w:r>
      <w:r>
        <w:rPr>
          <w:b/>
          <w:spacing w:val="-9"/>
        </w:rPr>
        <w:t> </w:t>
      </w:r>
      <w:r>
        <w:rPr/>
        <w:t>Family</w:t>
      </w:r>
      <w:r>
        <w:rPr>
          <w:spacing w:val="-15"/>
        </w:rPr>
        <w:t> </w:t>
      </w:r>
      <w:r>
        <w:rPr/>
        <w:t>members</w:t>
      </w:r>
      <w:r>
        <w:rPr>
          <w:spacing w:val="-13"/>
        </w:rPr>
        <w:t> </w:t>
      </w:r>
      <w:r>
        <w:rPr/>
        <w:t>such</w:t>
      </w:r>
      <w:r>
        <w:rPr>
          <w:spacing w:val="-14"/>
        </w:rPr>
        <w:t> </w:t>
      </w:r>
      <w:r>
        <w:rPr/>
        <w:t>as</w:t>
      </w:r>
      <w:r>
        <w:rPr>
          <w:spacing w:val="-13"/>
        </w:rPr>
        <w:t> </w:t>
      </w:r>
      <w:r>
        <w:rPr/>
        <w:t>brothers,</w:t>
      </w:r>
      <w:r>
        <w:rPr>
          <w:spacing w:val="-15"/>
        </w:rPr>
        <w:t> </w:t>
      </w:r>
      <w:r>
        <w:rPr/>
        <w:t>sisters,</w:t>
      </w:r>
      <w:r>
        <w:rPr>
          <w:spacing w:val="-12"/>
        </w:rPr>
        <w:t> </w:t>
      </w:r>
      <w:r>
        <w:rPr/>
        <w:t>spouses,</w:t>
      </w:r>
      <w:r>
        <w:rPr>
          <w:spacing w:val="-14"/>
        </w:rPr>
        <w:t> </w:t>
      </w:r>
      <w:r>
        <w:rPr/>
        <w:t>ancestors and lineal descendants. The charter holder names listed were researched to discern whether the listed charter holders were related. I.e. cases where the husband and wife had different last names. (Step-parents, uncles, in-laws, cousins, nephews and ex- spouses are not considered related in these reports.) A corporation or partnership in which more than 50% of the stock or more than 50% of the capital interest is owned by the taxpayer. Most cases noted in this study were 100% held by a related</w:t>
      </w:r>
      <w:r>
        <w:rPr>
          <w:spacing w:val="-31"/>
        </w:rPr>
        <w:t> </w:t>
      </w:r>
      <w:r>
        <w:rPr/>
        <w:t>party.</w:t>
      </w:r>
    </w:p>
    <w:p>
      <w:pPr>
        <w:pStyle w:val="BodyText"/>
        <w:rPr>
          <w:sz w:val="26"/>
        </w:rPr>
      </w:pPr>
    </w:p>
    <w:p>
      <w:pPr>
        <w:pStyle w:val="BodyText"/>
        <w:rPr>
          <w:sz w:val="26"/>
        </w:rPr>
      </w:pPr>
    </w:p>
    <w:p>
      <w:pPr>
        <w:spacing w:line="259" w:lineRule="auto" w:before="170"/>
        <w:ind w:left="2260" w:right="108" w:hanging="2160"/>
        <w:jc w:val="both"/>
        <w:rPr>
          <w:b/>
          <w:sz w:val="22"/>
        </w:rPr>
      </w:pPr>
      <w:r>
        <w:rPr>
          <w:b/>
          <w:sz w:val="22"/>
        </w:rPr>
        <w:t>Recommendations: 1. Charters need to be held to the same public bidding procurement process as public district schools. This adaptation will make any related-party contracts public information. If compliance creates an administrative burden on the charter, then the </w:t>
      </w:r>
      <w:r>
        <w:rPr>
          <w:b/>
          <w:spacing w:val="-3"/>
          <w:sz w:val="22"/>
        </w:rPr>
        <w:t>ASBCS </w:t>
      </w:r>
      <w:r>
        <w:rPr>
          <w:b/>
          <w:sz w:val="22"/>
        </w:rPr>
        <w:t>should facilitate and oversee the bidding process and create the</w:t>
      </w:r>
      <w:r>
        <w:rPr>
          <w:b/>
          <w:spacing w:val="-29"/>
          <w:sz w:val="22"/>
        </w:rPr>
        <w:t> </w:t>
      </w:r>
      <w:r>
        <w:rPr>
          <w:b/>
          <w:sz w:val="22"/>
        </w:rPr>
        <w:t>opportunity for</w:t>
      </w:r>
      <w:r>
        <w:rPr>
          <w:b/>
          <w:spacing w:val="-3"/>
          <w:sz w:val="22"/>
        </w:rPr>
        <w:t> </w:t>
      </w:r>
      <w:r>
        <w:rPr>
          <w:b/>
          <w:sz w:val="22"/>
        </w:rPr>
        <w:t>charter</w:t>
      </w:r>
      <w:r>
        <w:rPr>
          <w:b/>
          <w:spacing w:val="-2"/>
          <w:sz w:val="22"/>
        </w:rPr>
        <w:t> </w:t>
      </w:r>
      <w:r>
        <w:rPr>
          <w:b/>
          <w:sz w:val="22"/>
        </w:rPr>
        <w:t>schools</w:t>
      </w:r>
      <w:r>
        <w:rPr>
          <w:b/>
          <w:spacing w:val="-8"/>
          <w:sz w:val="22"/>
        </w:rPr>
        <w:t> </w:t>
      </w:r>
      <w:r>
        <w:rPr>
          <w:b/>
          <w:sz w:val="22"/>
        </w:rPr>
        <w:t>with</w:t>
      </w:r>
      <w:r>
        <w:rPr>
          <w:b/>
          <w:spacing w:val="-3"/>
          <w:sz w:val="22"/>
        </w:rPr>
        <w:t> </w:t>
      </w:r>
      <w:r>
        <w:rPr>
          <w:b/>
          <w:sz w:val="22"/>
        </w:rPr>
        <w:t>similar</w:t>
      </w:r>
      <w:r>
        <w:rPr>
          <w:b/>
          <w:spacing w:val="-5"/>
          <w:sz w:val="22"/>
        </w:rPr>
        <w:t> </w:t>
      </w:r>
      <w:r>
        <w:rPr>
          <w:b/>
          <w:sz w:val="22"/>
        </w:rPr>
        <w:t>needs</w:t>
      </w:r>
      <w:r>
        <w:rPr>
          <w:b/>
          <w:spacing w:val="-5"/>
          <w:sz w:val="22"/>
        </w:rPr>
        <w:t> </w:t>
      </w:r>
      <w:r>
        <w:rPr>
          <w:b/>
          <w:sz w:val="22"/>
        </w:rPr>
        <w:t>to</w:t>
      </w:r>
      <w:r>
        <w:rPr>
          <w:b/>
          <w:spacing w:val="-5"/>
          <w:sz w:val="22"/>
        </w:rPr>
        <w:t> </w:t>
      </w:r>
      <w:r>
        <w:rPr>
          <w:b/>
          <w:sz w:val="22"/>
        </w:rPr>
        <w:t>benefit</w:t>
      </w:r>
      <w:r>
        <w:rPr>
          <w:b/>
          <w:spacing w:val="-7"/>
          <w:sz w:val="22"/>
        </w:rPr>
        <w:t> </w:t>
      </w:r>
      <w:r>
        <w:rPr>
          <w:b/>
          <w:sz w:val="22"/>
        </w:rPr>
        <w:t>from</w:t>
      </w:r>
      <w:r>
        <w:rPr>
          <w:b/>
          <w:spacing w:val="-5"/>
          <w:sz w:val="22"/>
        </w:rPr>
        <w:t> </w:t>
      </w:r>
      <w:r>
        <w:rPr>
          <w:b/>
          <w:sz w:val="22"/>
        </w:rPr>
        <w:t>a</w:t>
      </w:r>
      <w:r>
        <w:rPr>
          <w:b/>
          <w:spacing w:val="-5"/>
          <w:sz w:val="22"/>
        </w:rPr>
        <w:t> </w:t>
      </w:r>
      <w:r>
        <w:rPr>
          <w:b/>
          <w:sz w:val="22"/>
        </w:rPr>
        <w:t>combined</w:t>
      </w:r>
      <w:r>
        <w:rPr>
          <w:b/>
          <w:spacing w:val="-3"/>
          <w:sz w:val="22"/>
        </w:rPr>
        <w:t> </w:t>
      </w:r>
      <w:r>
        <w:rPr>
          <w:b/>
          <w:sz w:val="22"/>
        </w:rPr>
        <w:t>bid process.</w:t>
      </w:r>
    </w:p>
    <w:p>
      <w:pPr>
        <w:spacing w:line="259" w:lineRule="auto" w:before="159"/>
        <w:ind w:left="2260" w:right="108" w:firstLine="0"/>
        <w:jc w:val="both"/>
        <w:rPr>
          <w:sz w:val="24"/>
        </w:rPr>
      </w:pPr>
      <w:r>
        <w:rPr>
          <w:b/>
          <w:sz w:val="22"/>
        </w:rPr>
        <w:t>2. Related-party employment compensation needs to be disclosed in audits and the charter must provide a market-based analysis to the ASBCS that demonstrates no more than fair-market value is paid for any compensation to related-parties. The amount of related-party employment compensation for each charter will be available to the public at the ASBCS' website, including any documentation</w:t>
      </w:r>
      <w:r>
        <w:rPr>
          <w:sz w:val="24"/>
        </w:rPr>
        <w:t>.</w:t>
      </w:r>
    </w:p>
    <w:p>
      <w:pPr>
        <w:spacing w:after="0" w:line="259" w:lineRule="auto"/>
        <w:jc w:val="both"/>
        <w:rPr>
          <w:sz w:val="24"/>
        </w:rPr>
        <w:sectPr>
          <w:pgSz w:w="12240" w:h="15840"/>
          <w:pgMar w:header="740" w:footer="1002" w:top="940" w:bottom="1200" w:left="1340" w:right="1320"/>
        </w:sectPr>
      </w:pPr>
    </w:p>
    <w:p>
      <w:pPr>
        <w:pStyle w:val="BodyText"/>
        <w:rPr>
          <w:sz w:val="20"/>
        </w:rPr>
      </w:pPr>
    </w:p>
    <w:p>
      <w:pPr>
        <w:pStyle w:val="BodyText"/>
        <w:spacing w:before="2"/>
        <w:rPr>
          <w:sz w:val="22"/>
        </w:rPr>
      </w:pPr>
    </w:p>
    <w:p>
      <w:pPr>
        <w:pStyle w:val="BodyText"/>
        <w:ind w:left="2640"/>
        <w:rPr>
          <w:sz w:val="20"/>
        </w:rPr>
      </w:pPr>
      <w:r>
        <w:rPr>
          <w:sz w:val="20"/>
        </w:rPr>
        <w:drawing>
          <wp:inline distT="0" distB="0" distL="0" distR="0">
            <wp:extent cx="2745233" cy="914400"/>
            <wp:effectExtent l="0" t="0" r="0" b="0"/>
            <wp:docPr id="5" name="image3.jpeg" descr=""/>
            <wp:cNvGraphicFramePr>
              <a:graphicFrameLocks noChangeAspect="1"/>
            </wp:cNvGraphicFramePr>
            <a:graphic>
              <a:graphicData uri="http://schemas.openxmlformats.org/drawingml/2006/picture">
                <pic:pic>
                  <pic:nvPicPr>
                    <pic:cNvPr id="6" name="image3.jpeg"/>
                    <pic:cNvPicPr/>
                  </pic:nvPicPr>
                  <pic:blipFill>
                    <a:blip r:embed="rId11" cstate="print"/>
                    <a:stretch>
                      <a:fillRect/>
                    </a:stretch>
                  </pic:blipFill>
                  <pic:spPr>
                    <a:xfrm>
                      <a:off x="0" y="0"/>
                      <a:ext cx="2745233" cy="914400"/>
                    </a:xfrm>
                    <a:prstGeom prst="rect">
                      <a:avLst/>
                    </a:prstGeom>
                  </pic:spPr>
                </pic:pic>
              </a:graphicData>
            </a:graphic>
          </wp:inline>
        </w:drawing>
      </w:r>
      <w:r>
        <w:rPr>
          <w:sz w:val="20"/>
        </w:rPr>
      </w:r>
    </w:p>
    <w:p>
      <w:pPr>
        <w:pStyle w:val="BodyText"/>
        <w:rPr>
          <w:sz w:val="20"/>
        </w:rPr>
      </w:pPr>
    </w:p>
    <w:p>
      <w:pPr>
        <w:pStyle w:val="BodyText"/>
        <w:spacing w:before="6"/>
        <w:rPr>
          <w:sz w:val="16"/>
        </w:rPr>
      </w:pPr>
    </w:p>
    <w:p>
      <w:pPr>
        <w:tabs>
          <w:tab w:pos="2280" w:val="left" w:leader="none"/>
        </w:tabs>
        <w:spacing w:line="276" w:lineRule="auto" w:before="94"/>
        <w:ind w:left="2280" w:right="106" w:hanging="2160"/>
        <w:jc w:val="both"/>
        <w:rPr>
          <w:b/>
          <w:sz w:val="22"/>
        </w:rPr>
      </w:pPr>
      <w:bookmarkStart w:name="_bookmark10" w:id="11"/>
      <w:bookmarkEnd w:id="11"/>
      <w:r>
        <w:rPr/>
      </w:r>
      <w:r>
        <w:rPr>
          <w:b/>
          <w:sz w:val="22"/>
        </w:rPr>
        <w:t>Finding:</w:t>
        <w:tab/>
        <w:t>Administrative  Compensation  is  often  excessive—and</w:t>
      </w:r>
      <w:r>
        <w:rPr>
          <w:b/>
          <w:spacing w:val="-15"/>
          <w:sz w:val="22"/>
        </w:rPr>
        <w:t> </w:t>
      </w:r>
      <w:r>
        <w:rPr>
          <w:b/>
          <w:sz w:val="22"/>
        </w:rPr>
        <w:t>given</w:t>
      </w:r>
      <w:r>
        <w:rPr>
          <w:b/>
          <w:spacing w:val="45"/>
          <w:sz w:val="22"/>
        </w:rPr>
        <w:t> </w:t>
      </w:r>
      <w:r>
        <w:rPr>
          <w:b/>
          <w:sz w:val="22"/>
        </w:rPr>
        <w:t>other</w:t>
      </w:r>
      <w:r>
        <w:rPr>
          <w:b/>
          <w:w w:val="100"/>
          <w:sz w:val="22"/>
        </w:rPr>
        <w:t> </w:t>
      </w:r>
      <w:r>
        <w:rPr>
          <w:b/>
          <w:sz w:val="22"/>
        </w:rPr>
        <w:t>organizational ways of funneling money, these figures may understate the full compensation package owners provide for themselves.</w:t>
      </w:r>
      <w:r>
        <w:rPr>
          <w:b/>
          <w:spacing w:val="-12"/>
          <w:sz w:val="22"/>
        </w:rPr>
        <w:t> </w:t>
      </w:r>
      <w:r>
        <w:rPr>
          <w:b/>
          <w:sz w:val="22"/>
        </w:rPr>
        <w:t>For-profit</w:t>
      </w:r>
      <w:r>
        <w:rPr>
          <w:b/>
          <w:spacing w:val="-15"/>
          <w:sz w:val="22"/>
        </w:rPr>
        <w:t> </w:t>
      </w:r>
      <w:r>
        <w:rPr>
          <w:b/>
          <w:sz w:val="22"/>
        </w:rPr>
        <w:t>charters</w:t>
      </w:r>
      <w:r>
        <w:rPr>
          <w:b/>
          <w:spacing w:val="-13"/>
          <w:sz w:val="22"/>
        </w:rPr>
        <w:t> </w:t>
      </w:r>
      <w:r>
        <w:rPr>
          <w:b/>
          <w:sz w:val="22"/>
        </w:rPr>
        <w:t>and</w:t>
      </w:r>
      <w:r>
        <w:rPr>
          <w:b/>
          <w:spacing w:val="-16"/>
          <w:sz w:val="22"/>
        </w:rPr>
        <w:t> </w:t>
      </w:r>
      <w:r>
        <w:rPr>
          <w:b/>
          <w:sz w:val="22"/>
        </w:rPr>
        <w:t>for-profit</w:t>
      </w:r>
      <w:r>
        <w:rPr>
          <w:b/>
          <w:spacing w:val="-13"/>
          <w:sz w:val="22"/>
        </w:rPr>
        <w:t> </w:t>
      </w:r>
      <w:r>
        <w:rPr>
          <w:b/>
          <w:sz w:val="22"/>
        </w:rPr>
        <w:t>related</w:t>
      </w:r>
      <w:r>
        <w:rPr>
          <w:b/>
          <w:spacing w:val="-14"/>
          <w:sz w:val="22"/>
        </w:rPr>
        <w:t> </w:t>
      </w:r>
      <w:r>
        <w:rPr>
          <w:b/>
          <w:sz w:val="22"/>
        </w:rPr>
        <w:t>organizations</w:t>
      </w:r>
      <w:r>
        <w:rPr>
          <w:b/>
          <w:spacing w:val="-16"/>
          <w:sz w:val="22"/>
        </w:rPr>
        <w:t> </w:t>
      </w:r>
      <w:r>
        <w:rPr>
          <w:b/>
          <w:sz w:val="22"/>
        </w:rPr>
        <w:t>do not disclose compensation, i.e. the data is not provided in the</w:t>
      </w:r>
      <w:r>
        <w:rPr>
          <w:b/>
          <w:spacing w:val="-38"/>
          <w:sz w:val="22"/>
        </w:rPr>
        <w:t> </w:t>
      </w:r>
      <w:r>
        <w:rPr>
          <w:b/>
          <w:sz w:val="22"/>
        </w:rPr>
        <w:t>audits.</w:t>
      </w:r>
    </w:p>
    <w:p>
      <w:pPr>
        <w:pStyle w:val="BodyText"/>
        <w:spacing w:line="278" w:lineRule="auto" w:before="207"/>
        <w:ind w:left="120" w:right="120"/>
        <w:jc w:val="both"/>
      </w:pPr>
      <w:r>
        <w:rPr/>
        <w:t>Charter school operations frequently have only a few hundred students. Among public school districts with 600-1,200 students, the average superintendent compensation is</w:t>
      </w:r>
    </w:p>
    <w:p>
      <w:pPr>
        <w:pStyle w:val="BodyText"/>
        <w:spacing w:line="276" w:lineRule="auto"/>
        <w:ind w:left="120" w:right="120"/>
        <w:jc w:val="both"/>
      </w:pPr>
      <w:r>
        <w:rPr/>
        <w:t>$105,000. Focusing on the top half of these districts in terms of compensation per pupil, the</w:t>
      </w:r>
      <w:r>
        <w:rPr>
          <w:spacing w:val="-14"/>
        </w:rPr>
        <w:t> </w:t>
      </w:r>
      <w:r>
        <w:rPr/>
        <w:t>compensation</w:t>
      </w:r>
      <w:r>
        <w:rPr>
          <w:spacing w:val="-12"/>
        </w:rPr>
        <w:t> </w:t>
      </w:r>
      <w:r>
        <w:rPr/>
        <w:t>comes</w:t>
      </w:r>
      <w:r>
        <w:rPr>
          <w:spacing w:val="-13"/>
        </w:rPr>
        <w:t> </w:t>
      </w:r>
      <w:r>
        <w:rPr/>
        <w:t>out</w:t>
      </w:r>
      <w:r>
        <w:rPr>
          <w:spacing w:val="-14"/>
        </w:rPr>
        <w:t> </w:t>
      </w:r>
      <w:r>
        <w:rPr/>
        <w:t>to</w:t>
      </w:r>
      <w:r>
        <w:rPr>
          <w:spacing w:val="-14"/>
        </w:rPr>
        <w:t> </w:t>
      </w:r>
      <w:r>
        <w:rPr/>
        <w:t>$150</w:t>
      </w:r>
      <w:r>
        <w:rPr>
          <w:spacing w:val="-14"/>
        </w:rPr>
        <w:t> </w:t>
      </w:r>
      <w:r>
        <w:rPr/>
        <w:t>per</w:t>
      </w:r>
      <w:r>
        <w:rPr>
          <w:spacing w:val="-16"/>
        </w:rPr>
        <w:t> </w:t>
      </w:r>
      <w:r>
        <w:rPr/>
        <w:t>pupil.</w:t>
      </w:r>
      <w:r>
        <w:rPr>
          <w:spacing w:val="-13"/>
        </w:rPr>
        <w:t> </w:t>
      </w:r>
      <w:r>
        <w:rPr/>
        <w:t>Superintendent</w:t>
      </w:r>
      <w:r>
        <w:rPr>
          <w:spacing w:val="-14"/>
        </w:rPr>
        <w:t> </w:t>
      </w:r>
      <w:r>
        <w:rPr/>
        <w:t>salaries</w:t>
      </w:r>
      <w:r>
        <w:rPr>
          <w:spacing w:val="-15"/>
        </w:rPr>
        <w:t> </w:t>
      </w:r>
      <w:r>
        <w:rPr/>
        <w:t>for</w:t>
      </w:r>
      <w:r>
        <w:rPr>
          <w:spacing w:val="-13"/>
        </w:rPr>
        <w:t> </w:t>
      </w:r>
      <w:r>
        <w:rPr/>
        <w:t>the</w:t>
      </w:r>
      <w:r>
        <w:rPr>
          <w:spacing w:val="-14"/>
        </w:rPr>
        <w:t> </w:t>
      </w:r>
      <w:r>
        <w:rPr/>
        <w:t>top</w:t>
      </w:r>
      <w:r>
        <w:rPr>
          <w:spacing w:val="-14"/>
        </w:rPr>
        <w:t> </w:t>
      </w:r>
      <w:r>
        <w:rPr/>
        <w:t>paying public  school  districts  with  600-1,200  students  ranged  from  $101,000</w:t>
      </w:r>
      <w:r>
        <w:rPr>
          <w:spacing w:val="35"/>
        </w:rPr>
        <w:t> </w:t>
      </w:r>
      <w:r>
        <w:rPr/>
        <w:t>to</w:t>
      </w:r>
    </w:p>
    <w:p>
      <w:pPr>
        <w:pStyle w:val="BodyText"/>
        <w:spacing w:before="3"/>
        <w:ind w:left="120"/>
        <w:jc w:val="both"/>
      </w:pPr>
      <w:r>
        <w:rPr/>
        <w:t>$125,000 with one outlier at $235,000.</w:t>
      </w:r>
    </w:p>
    <w:p>
      <w:pPr>
        <w:pStyle w:val="BodyText"/>
        <w:spacing w:before="1"/>
        <w:rPr>
          <w:sz w:val="21"/>
        </w:rPr>
      </w:pPr>
    </w:p>
    <w:p>
      <w:pPr>
        <w:pStyle w:val="BodyText"/>
        <w:spacing w:line="276" w:lineRule="auto"/>
        <w:ind w:left="120" w:right="109"/>
        <w:jc w:val="both"/>
      </w:pPr>
      <w:r>
        <w:rPr/>
        <w:t>Examining</w:t>
      </w:r>
      <w:r>
        <w:rPr>
          <w:spacing w:val="-13"/>
        </w:rPr>
        <w:t> </w:t>
      </w:r>
      <w:r>
        <w:rPr/>
        <w:t>charters</w:t>
      </w:r>
      <w:r>
        <w:rPr>
          <w:spacing w:val="-12"/>
        </w:rPr>
        <w:t> </w:t>
      </w:r>
      <w:r>
        <w:rPr/>
        <w:t>that</w:t>
      </w:r>
      <w:r>
        <w:rPr>
          <w:spacing w:val="-11"/>
        </w:rPr>
        <w:t> </w:t>
      </w:r>
      <w:r>
        <w:rPr/>
        <w:t>disclose</w:t>
      </w:r>
      <w:r>
        <w:rPr>
          <w:spacing w:val="-11"/>
        </w:rPr>
        <w:t> </w:t>
      </w:r>
      <w:r>
        <w:rPr/>
        <w:t>administrative</w:t>
      </w:r>
      <w:r>
        <w:rPr>
          <w:spacing w:val="-11"/>
        </w:rPr>
        <w:t> </w:t>
      </w:r>
      <w:r>
        <w:rPr/>
        <w:t>and</w:t>
      </w:r>
      <w:r>
        <w:rPr>
          <w:spacing w:val="-11"/>
        </w:rPr>
        <w:t> </w:t>
      </w:r>
      <w:r>
        <w:rPr/>
        <w:t>executive</w:t>
      </w:r>
      <w:r>
        <w:rPr>
          <w:spacing w:val="-11"/>
        </w:rPr>
        <w:t> </w:t>
      </w:r>
      <w:r>
        <w:rPr/>
        <w:t>salaries</w:t>
      </w:r>
      <w:r>
        <w:rPr>
          <w:spacing w:val="-12"/>
        </w:rPr>
        <w:t> </w:t>
      </w:r>
      <w:r>
        <w:rPr/>
        <w:t>on</w:t>
      </w:r>
      <w:r>
        <w:rPr>
          <w:spacing w:val="-11"/>
        </w:rPr>
        <w:t> </w:t>
      </w:r>
      <w:r>
        <w:rPr/>
        <w:t>their</w:t>
      </w:r>
      <w:r>
        <w:rPr>
          <w:spacing w:val="-13"/>
        </w:rPr>
        <w:t> </w:t>
      </w:r>
      <w:r>
        <w:rPr/>
        <w:t>IRS</w:t>
      </w:r>
      <w:r>
        <w:rPr>
          <w:spacing w:val="45"/>
        </w:rPr>
        <w:t> </w:t>
      </w:r>
      <w:r>
        <w:rPr/>
        <w:t>Form 990 one finds a key reason why charters have more than twice the administrative expenses per student as public district schools (many charters do not disclose this information on their IRS 990, an issue</w:t>
      </w:r>
      <w:hyperlink w:history="true" w:anchor="_bookmark11">
        <w:r>
          <w:rPr>
            <w:position w:val="8"/>
            <w:sz w:val="16"/>
          </w:rPr>
          <w:t>6</w:t>
        </w:r>
      </w:hyperlink>
      <w:r>
        <w:rPr/>
        <w:t>). Many charters pay administrators and charter holders far more than what equivalent personnel would receive </w:t>
      </w:r>
      <w:r>
        <w:rPr>
          <w:spacing w:val="2"/>
        </w:rPr>
        <w:t>in </w:t>
      </w:r>
      <w:r>
        <w:rPr/>
        <w:t>public district schools. There</w:t>
      </w:r>
      <w:r>
        <w:rPr>
          <w:spacing w:val="-20"/>
        </w:rPr>
        <w:t> </w:t>
      </w:r>
      <w:r>
        <w:rPr/>
        <w:t>are</w:t>
      </w:r>
      <w:r>
        <w:rPr>
          <w:spacing w:val="-17"/>
        </w:rPr>
        <w:t> </w:t>
      </w:r>
      <w:r>
        <w:rPr/>
        <w:t>charters</w:t>
      </w:r>
      <w:r>
        <w:rPr>
          <w:spacing w:val="-20"/>
        </w:rPr>
        <w:t> </w:t>
      </w:r>
      <w:r>
        <w:rPr/>
        <w:t>(23%</w:t>
      </w:r>
      <w:r>
        <w:rPr>
          <w:spacing w:val="-17"/>
        </w:rPr>
        <w:t> </w:t>
      </w:r>
      <w:r>
        <w:rPr/>
        <w:t>of</w:t>
      </w:r>
      <w:r>
        <w:rPr>
          <w:spacing w:val="-17"/>
        </w:rPr>
        <w:t> </w:t>
      </w:r>
      <w:r>
        <w:rPr/>
        <w:t>the</w:t>
      </w:r>
      <w:r>
        <w:rPr>
          <w:spacing w:val="-19"/>
        </w:rPr>
        <w:t> </w:t>
      </w:r>
      <w:r>
        <w:rPr/>
        <w:t>total)</w:t>
      </w:r>
      <w:r>
        <w:rPr>
          <w:spacing w:val="-19"/>
        </w:rPr>
        <w:t> </w:t>
      </w:r>
      <w:r>
        <w:rPr/>
        <w:t>that</w:t>
      </w:r>
      <w:r>
        <w:rPr>
          <w:spacing w:val="-19"/>
        </w:rPr>
        <w:t> </w:t>
      </w:r>
      <w:r>
        <w:rPr/>
        <w:t>have</w:t>
      </w:r>
      <w:r>
        <w:rPr>
          <w:spacing w:val="-17"/>
        </w:rPr>
        <w:t> </w:t>
      </w:r>
      <w:r>
        <w:rPr/>
        <w:t>reasonable</w:t>
      </w:r>
      <w:r>
        <w:rPr>
          <w:spacing w:val="-19"/>
        </w:rPr>
        <w:t> </w:t>
      </w:r>
      <w:r>
        <w:rPr/>
        <w:t>compensation</w:t>
      </w:r>
      <w:r>
        <w:rPr>
          <w:spacing w:val="-19"/>
        </w:rPr>
        <w:t> </w:t>
      </w:r>
      <w:r>
        <w:rPr/>
        <w:t>packages</w:t>
      </w:r>
      <w:r>
        <w:rPr>
          <w:spacing w:val="-20"/>
        </w:rPr>
        <w:t> </w:t>
      </w:r>
      <w:r>
        <w:rPr/>
        <w:t>based on</w:t>
      </w:r>
      <w:r>
        <w:rPr>
          <w:spacing w:val="-14"/>
        </w:rPr>
        <w:t> </w:t>
      </w:r>
      <w:r>
        <w:rPr/>
        <w:t>the</w:t>
      </w:r>
      <w:r>
        <w:rPr>
          <w:spacing w:val="-14"/>
        </w:rPr>
        <w:t> </w:t>
      </w:r>
      <w:r>
        <w:rPr/>
        <w:t>charter’s</w:t>
      </w:r>
      <w:r>
        <w:rPr>
          <w:spacing w:val="-15"/>
        </w:rPr>
        <w:t> </w:t>
      </w:r>
      <w:r>
        <w:rPr/>
        <w:t>size.</w:t>
      </w:r>
      <w:r>
        <w:rPr>
          <w:spacing w:val="-17"/>
        </w:rPr>
        <w:t> </w:t>
      </w:r>
      <w:r>
        <w:rPr/>
        <w:t>There</w:t>
      </w:r>
      <w:r>
        <w:rPr>
          <w:spacing w:val="-17"/>
        </w:rPr>
        <w:t> </w:t>
      </w:r>
      <w:r>
        <w:rPr/>
        <w:t>are</w:t>
      </w:r>
      <w:r>
        <w:rPr>
          <w:spacing w:val="-17"/>
        </w:rPr>
        <w:t> </w:t>
      </w:r>
      <w:r>
        <w:rPr/>
        <w:t>members</w:t>
      </w:r>
      <w:r>
        <w:rPr>
          <w:spacing w:val="-18"/>
        </w:rPr>
        <w:t> </w:t>
      </w:r>
      <w:r>
        <w:rPr/>
        <w:t>of</w:t>
      </w:r>
      <w:r>
        <w:rPr>
          <w:spacing w:val="-12"/>
        </w:rPr>
        <w:t> </w:t>
      </w:r>
      <w:r>
        <w:rPr/>
        <w:t>this</w:t>
      </w:r>
      <w:r>
        <w:rPr>
          <w:spacing w:val="-16"/>
        </w:rPr>
        <w:t> </w:t>
      </w:r>
      <w:r>
        <w:rPr/>
        <w:t>group</w:t>
      </w:r>
      <w:r>
        <w:rPr>
          <w:spacing w:val="-14"/>
        </w:rPr>
        <w:t> </w:t>
      </w:r>
      <w:r>
        <w:rPr/>
        <w:t>that</w:t>
      </w:r>
      <w:r>
        <w:rPr>
          <w:spacing w:val="-14"/>
        </w:rPr>
        <w:t> </w:t>
      </w:r>
      <w:r>
        <w:rPr/>
        <w:t>take</w:t>
      </w:r>
      <w:r>
        <w:rPr>
          <w:spacing w:val="-17"/>
        </w:rPr>
        <w:t> </w:t>
      </w:r>
      <w:r>
        <w:rPr/>
        <w:t>LESS</w:t>
      </w:r>
      <w:r>
        <w:rPr>
          <w:spacing w:val="-14"/>
        </w:rPr>
        <w:t> </w:t>
      </w:r>
      <w:r>
        <w:rPr/>
        <w:t>compensation</w:t>
      </w:r>
      <w:r>
        <w:rPr>
          <w:spacing w:val="-14"/>
        </w:rPr>
        <w:t> </w:t>
      </w:r>
      <w:r>
        <w:rPr/>
        <w:t>than they</w:t>
      </w:r>
      <w:r>
        <w:rPr>
          <w:spacing w:val="-6"/>
        </w:rPr>
        <w:t> </w:t>
      </w:r>
      <w:r>
        <w:rPr/>
        <w:t>are</w:t>
      </w:r>
      <w:r>
        <w:rPr>
          <w:spacing w:val="-3"/>
        </w:rPr>
        <w:t> </w:t>
      </w:r>
      <w:r>
        <w:rPr/>
        <w:t>due</w:t>
      </w:r>
      <w:r>
        <w:rPr>
          <w:spacing w:val="-5"/>
        </w:rPr>
        <w:t> </w:t>
      </w:r>
      <w:r>
        <w:rPr/>
        <w:t>because</w:t>
      </w:r>
      <w:r>
        <w:rPr>
          <w:spacing w:val="-5"/>
        </w:rPr>
        <w:t> </w:t>
      </w:r>
      <w:r>
        <w:rPr/>
        <w:t>of</w:t>
      </w:r>
      <w:r>
        <w:rPr>
          <w:spacing w:val="-1"/>
        </w:rPr>
        <w:t> </w:t>
      </w:r>
      <w:r>
        <w:rPr/>
        <w:t>the</w:t>
      </w:r>
      <w:r>
        <w:rPr>
          <w:spacing w:val="-5"/>
        </w:rPr>
        <w:t> </w:t>
      </w:r>
      <w:r>
        <w:rPr/>
        <w:t>financial</w:t>
      </w:r>
      <w:r>
        <w:rPr>
          <w:spacing w:val="-5"/>
        </w:rPr>
        <w:t> </w:t>
      </w:r>
      <w:r>
        <w:rPr/>
        <w:t>position</w:t>
      </w:r>
      <w:r>
        <w:rPr>
          <w:spacing w:val="-5"/>
        </w:rPr>
        <w:t> </w:t>
      </w:r>
      <w:r>
        <w:rPr/>
        <w:t>of</w:t>
      </w:r>
      <w:r>
        <w:rPr>
          <w:spacing w:val="-1"/>
        </w:rPr>
        <w:t> </w:t>
      </w:r>
      <w:r>
        <w:rPr/>
        <w:t>the</w:t>
      </w:r>
      <w:r>
        <w:rPr>
          <w:spacing w:val="-34"/>
        </w:rPr>
        <w:t> </w:t>
      </w:r>
      <w:r>
        <w:rPr/>
        <w:t>company.</w:t>
      </w:r>
    </w:p>
    <w:p>
      <w:pPr>
        <w:pStyle w:val="BodyText"/>
        <w:spacing w:line="276" w:lineRule="auto" w:before="202"/>
        <w:ind w:left="120" w:right="118"/>
        <w:jc w:val="both"/>
      </w:pPr>
      <w:r>
        <w:rPr/>
        <w:t>One particularly high compensation example is at Crown Charter School, Inc., where</w:t>
      </w:r>
      <w:r>
        <w:rPr>
          <w:spacing w:val="-48"/>
        </w:rPr>
        <w:t> </w:t>
      </w:r>
      <w:r>
        <w:rPr/>
        <w:t>the top two executives paid themselves a total of half a million dollars in FY 2014. This compensation occurred  even  though  the  school had  just over 250  students.  </w:t>
      </w:r>
      <w:r>
        <w:rPr>
          <w:spacing w:val="1"/>
        </w:rPr>
        <w:t> </w:t>
      </w:r>
      <w:r>
        <w:rPr/>
        <w:t>Nearly</w:t>
      </w:r>
    </w:p>
    <w:p>
      <w:pPr>
        <w:pStyle w:val="BodyText"/>
        <w:spacing w:line="276" w:lineRule="auto"/>
        <w:ind w:left="120" w:right="108"/>
        <w:jc w:val="both"/>
      </w:pPr>
      <w:r>
        <w:rPr/>
        <w:t>$2,000 from taxpayers’ per student from the Arizona State General Fund </w:t>
      </w:r>
      <w:r>
        <w:rPr>
          <w:i/>
        </w:rPr>
        <w:t>went to these </w:t>
      </w:r>
      <w:r>
        <w:rPr>
          <w:i/>
        </w:rPr>
        <w:t>two individuals</w:t>
      </w:r>
      <w:r>
        <w:rPr/>
        <w:t>. By contrast, the superintendent of Scottsdale Unified made $203,000 in 2014-2015. This compensation package was in a district that is nearly 100 times larger (almost 25,000 students). Additional irregularities regarding how Crown organizes itself financially is found in the Reconciling Inconsistent Financial portion of the report. The organization has significant discrepancies between their audit and their AFRs filed with the state.</w:t>
      </w:r>
    </w:p>
    <w:p>
      <w:pPr>
        <w:pStyle w:val="BodyText"/>
        <w:spacing w:before="10"/>
        <w:rPr>
          <w:sz w:val="12"/>
        </w:rPr>
      </w:pPr>
      <w:r>
        <w:rPr/>
        <w:pict>
          <v:line style="position:absolute;mso-position-horizontal-relative:page;mso-position-vertical-relative:paragraph;z-index:1168;mso-wrap-distance-left:0;mso-wrap-distance-right:0" from="72pt,9.768754pt" to="216pt,9.768754pt" stroked="true" strokeweight=".72pt" strokecolor="#000000">
            <v:stroke dashstyle="solid"/>
            <w10:wrap type="topAndBottom"/>
          </v:line>
        </w:pict>
      </w:r>
    </w:p>
    <w:p>
      <w:pPr>
        <w:spacing w:before="42"/>
        <w:ind w:left="120" w:right="0" w:firstLine="0"/>
        <w:jc w:val="both"/>
        <w:rPr>
          <w:rFonts w:ascii="Calibri" w:hAnsi="Calibri"/>
          <w:sz w:val="20"/>
        </w:rPr>
      </w:pPr>
      <w:bookmarkStart w:name="_bookmark11" w:id="12"/>
      <w:bookmarkEnd w:id="12"/>
      <w:r>
        <w:rPr/>
      </w:r>
      <w:r>
        <w:rPr>
          <w:rFonts w:ascii="Calibri" w:hAnsi="Calibri"/>
          <w:position w:val="7"/>
          <w:sz w:val="13"/>
        </w:rPr>
        <w:t>6 </w:t>
      </w:r>
      <w:r>
        <w:rPr>
          <w:rFonts w:ascii="Calibri" w:hAnsi="Calibri"/>
          <w:sz w:val="20"/>
        </w:rPr>
        <w:t>In addition none of the compensation that a charter holder is receiving from a subsidiary “for profit” is available.</w:t>
      </w:r>
    </w:p>
    <w:p>
      <w:pPr>
        <w:pStyle w:val="ListParagraph"/>
        <w:numPr>
          <w:ilvl w:val="1"/>
          <w:numId w:val="4"/>
        </w:numPr>
        <w:tabs>
          <w:tab w:pos="416" w:val="left" w:leader="none"/>
        </w:tabs>
        <w:spacing w:line="240" w:lineRule="auto" w:before="0" w:after="0"/>
        <w:ind w:left="120" w:right="137" w:firstLine="0"/>
        <w:jc w:val="both"/>
        <w:rPr>
          <w:rFonts w:ascii="Calibri"/>
          <w:sz w:val="20"/>
        </w:rPr>
      </w:pPr>
      <w:r>
        <w:rPr>
          <w:rFonts w:ascii="Calibri"/>
          <w:sz w:val="20"/>
        </w:rPr>
        <w:t>the information is not part of the audits or IRS 990, only the payments TO these organizations are visible on the audits.</w:t>
      </w:r>
    </w:p>
    <w:p>
      <w:pPr>
        <w:spacing w:after="0" w:line="240" w:lineRule="auto"/>
        <w:jc w:val="both"/>
        <w:rPr>
          <w:rFonts w:ascii="Calibri"/>
          <w:sz w:val="20"/>
        </w:rPr>
        <w:sectPr>
          <w:pgSz w:w="12240" w:h="15840"/>
          <w:pgMar w:header="740" w:footer="1002" w:top="940" w:bottom="1200" w:left="1320" w:right="1320"/>
        </w:sectPr>
      </w:pPr>
    </w:p>
    <w:p>
      <w:pPr>
        <w:pStyle w:val="BodyText"/>
        <w:rPr>
          <w:rFonts w:ascii="Calibri"/>
          <w:sz w:val="20"/>
        </w:rPr>
      </w:pPr>
    </w:p>
    <w:p>
      <w:pPr>
        <w:pStyle w:val="BodyText"/>
        <w:spacing w:before="5"/>
        <w:rPr>
          <w:rFonts w:ascii="Calibri"/>
          <w:sz w:val="19"/>
        </w:rPr>
      </w:pPr>
    </w:p>
    <w:p>
      <w:pPr>
        <w:pStyle w:val="BodyText"/>
        <w:spacing w:line="276" w:lineRule="auto"/>
        <w:ind w:left="120" w:right="111"/>
        <w:jc w:val="both"/>
      </w:pPr>
      <w:r>
        <w:rPr/>
        <w:t>The George Gervin charter with 90 students currently receives failing academic marks from the Arizona State Board of Charter Schools, yet its top paid executive, Barbara Hawkins, who also oversees a Youth Center, received $192,000 in 2013-2014. The principal of the school appears as a related-party, Nathan Hawkins, though his salary is not disclosed in the charter’s IRS 990 report.</w:t>
      </w:r>
    </w:p>
    <w:p>
      <w:pPr>
        <w:pStyle w:val="BodyText"/>
        <w:spacing w:line="276" w:lineRule="auto" w:before="201"/>
        <w:ind w:left="120" w:right="108"/>
        <w:jc w:val="both"/>
      </w:pPr>
      <w:r>
        <w:rPr/>
        <w:t>More typical examples of high compensation include Cynthia and Keith Johnson who collectively</w:t>
      </w:r>
      <w:r>
        <w:rPr>
          <w:spacing w:val="-19"/>
        </w:rPr>
        <w:t> </w:t>
      </w:r>
      <w:r>
        <w:rPr/>
        <w:t>earned</w:t>
      </w:r>
      <w:r>
        <w:rPr>
          <w:spacing w:val="-18"/>
        </w:rPr>
        <w:t> </w:t>
      </w:r>
      <w:r>
        <w:rPr/>
        <w:t>$317,000</w:t>
      </w:r>
      <w:r>
        <w:rPr>
          <w:spacing w:val="-18"/>
        </w:rPr>
        <w:t> </w:t>
      </w:r>
      <w:r>
        <w:rPr/>
        <w:t>for</w:t>
      </w:r>
      <w:r>
        <w:rPr>
          <w:spacing w:val="-17"/>
        </w:rPr>
        <w:t> </w:t>
      </w:r>
      <w:r>
        <w:rPr/>
        <w:t>374</w:t>
      </w:r>
      <w:r>
        <w:rPr>
          <w:spacing w:val="-16"/>
        </w:rPr>
        <w:t> </w:t>
      </w:r>
      <w:r>
        <w:rPr/>
        <w:t>students</w:t>
      </w:r>
      <w:r>
        <w:rPr>
          <w:spacing w:val="-18"/>
        </w:rPr>
        <w:t> </w:t>
      </w:r>
      <w:r>
        <w:rPr/>
        <w:t>at</w:t>
      </w:r>
      <w:r>
        <w:rPr>
          <w:spacing w:val="-16"/>
        </w:rPr>
        <w:t> </w:t>
      </w:r>
      <w:r>
        <w:rPr/>
        <w:t>Acorn</w:t>
      </w:r>
      <w:r>
        <w:rPr>
          <w:spacing w:val="-16"/>
        </w:rPr>
        <w:t> </w:t>
      </w:r>
      <w:r>
        <w:rPr/>
        <w:t>Montessori</w:t>
      </w:r>
      <w:r>
        <w:rPr>
          <w:spacing w:val="-18"/>
        </w:rPr>
        <w:t> </w:t>
      </w:r>
      <w:r>
        <w:rPr/>
        <w:t>charter</w:t>
      </w:r>
      <w:r>
        <w:rPr>
          <w:spacing w:val="-17"/>
        </w:rPr>
        <w:t> </w:t>
      </w:r>
      <w:r>
        <w:rPr/>
        <w:t>school</w:t>
      </w:r>
      <w:r>
        <w:rPr>
          <w:spacing w:val="-17"/>
        </w:rPr>
        <w:t> </w:t>
      </w:r>
      <w:r>
        <w:rPr/>
        <w:t>in</w:t>
      </w:r>
      <w:r>
        <w:rPr>
          <w:spacing w:val="-18"/>
        </w:rPr>
        <w:t> </w:t>
      </w:r>
      <w:r>
        <w:rPr/>
        <w:t>2013- 2014 and Brad and Deanne Tobin who collectively earned $239,000 for 126 students at Challenger Basic School. These compensation levels far surpass public district schools. For</w:t>
      </w:r>
      <w:r>
        <w:rPr>
          <w:spacing w:val="-16"/>
        </w:rPr>
        <w:t> </w:t>
      </w:r>
      <w:r>
        <w:rPr/>
        <w:t>instance,</w:t>
      </w:r>
      <w:r>
        <w:rPr>
          <w:spacing w:val="-14"/>
        </w:rPr>
        <w:t> </w:t>
      </w:r>
      <w:r>
        <w:rPr/>
        <w:t>the</w:t>
      </w:r>
      <w:r>
        <w:rPr>
          <w:spacing w:val="-14"/>
        </w:rPr>
        <w:t> </w:t>
      </w:r>
      <w:r>
        <w:rPr/>
        <w:t>superintendent</w:t>
      </w:r>
      <w:r>
        <w:rPr>
          <w:spacing w:val="-17"/>
        </w:rPr>
        <w:t> </w:t>
      </w:r>
      <w:r>
        <w:rPr/>
        <w:t>of</w:t>
      </w:r>
      <w:r>
        <w:rPr>
          <w:spacing w:val="-19"/>
        </w:rPr>
        <w:t> </w:t>
      </w:r>
      <w:r>
        <w:rPr/>
        <w:t>Williams</w:t>
      </w:r>
      <w:r>
        <w:rPr>
          <w:spacing w:val="-17"/>
        </w:rPr>
        <w:t> </w:t>
      </w:r>
      <w:r>
        <w:rPr/>
        <w:t>Unified</w:t>
      </w:r>
      <w:r>
        <w:rPr>
          <w:spacing w:val="-14"/>
        </w:rPr>
        <w:t> </w:t>
      </w:r>
      <w:r>
        <w:rPr/>
        <w:t>School</w:t>
      </w:r>
      <w:r>
        <w:rPr>
          <w:spacing w:val="-15"/>
        </w:rPr>
        <w:t> </w:t>
      </w:r>
      <w:r>
        <w:rPr/>
        <w:t>District</w:t>
      </w:r>
      <w:r>
        <w:rPr>
          <w:spacing w:val="-14"/>
        </w:rPr>
        <w:t> </w:t>
      </w:r>
      <w:r>
        <w:rPr/>
        <w:t>(618</w:t>
      </w:r>
      <w:r>
        <w:rPr>
          <w:spacing w:val="-14"/>
        </w:rPr>
        <w:t> </w:t>
      </w:r>
      <w:r>
        <w:rPr/>
        <w:t>students)</w:t>
      </w:r>
      <w:r>
        <w:rPr>
          <w:spacing w:val="-15"/>
        </w:rPr>
        <w:t> </w:t>
      </w:r>
      <w:r>
        <w:rPr/>
        <w:t>earned</w:t>
      </w:r>
    </w:p>
    <w:p>
      <w:pPr>
        <w:pStyle w:val="BodyText"/>
        <w:spacing w:line="276" w:lineRule="auto"/>
        <w:ind w:left="120" w:right="117"/>
        <w:jc w:val="both"/>
      </w:pPr>
      <w:r>
        <w:rPr/>
        <w:t>$101,000 in 2014-2015. Consequently, the top two administrators in Williams Unified earned less than $200,000.</w:t>
      </w:r>
    </w:p>
    <w:p>
      <w:pPr>
        <w:pStyle w:val="BodyText"/>
        <w:spacing w:line="276" w:lineRule="auto" w:before="204"/>
        <w:ind w:left="120" w:right="114"/>
        <w:jc w:val="both"/>
      </w:pPr>
      <w:r>
        <w:rPr/>
        <w:t>While charters may argue that despite their small size, administrators have broad and important responsibilities, the best way to address that would be to benchmark salaries to slightly larger public district schools.</w:t>
      </w:r>
    </w:p>
    <w:p>
      <w:pPr>
        <w:spacing w:line="259" w:lineRule="auto" w:before="198"/>
        <w:ind w:left="2280" w:right="108" w:hanging="2163"/>
        <w:jc w:val="both"/>
        <w:rPr>
          <w:b/>
          <w:sz w:val="22"/>
        </w:rPr>
      </w:pPr>
      <w:r>
        <w:rPr>
          <w:b/>
          <w:sz w:val="22"/>
        </w:rPr>
        <w:t>Recommendations: 1. Audits of charter schools need to include review of compensation to non-instructional personnel in an administrative, governance or ownership capacity. Compensation should be benchmarked by similar personnel in public school districts with less than 1,000 students for small charters with less than 600 students. For charters with</w:t>
      </w:r>
      <w:r>
        <w:rPr>
          <w:b/>
          <w:spacing w:val="-14"/>
          <w:sz w:val="22"/>
        </w:rPr>
        <w:t> </w:t>
      </w:r>
      <w:r>
        <w:rPr>
          <w:b/>
          <w:sz w:val="22"/>
        </w:rPr>
        <w:t>more</w:t>
      </w:r>
      <w:r>
        <w:rPr>
          <w:b/>
          <w:spacing w:val="-13"/>
          <w:sz w:val="22"/>
        </w:rPr>
        <w:t> </w:t>
      </w:r>
      <w:r>
        <w:rPr>
          <w:b/>
          <w:sz w:val="22"/>
        </w:rPr>
        <w:t>students,</w:t>
      </w:r>
      <w:r>
        <w:rPr>
          <w:b/>
          <w:spacing w:val="-12"/>
          <w:sz w:val="22"/>
        </w:rPr>
        <w:t> </w:t>
      </w:r>
      <w:r>
        <w:rPr>
          <w:b/>
          <w:sz w:val="22"/>
        </w:rPr>
        <w:t>the</w:t>
      </w:r>
      <w:r>
        <w:rPr>
          <w:b/>
          <w:spacing w:val="-14"/>
          <w:sz w:val="22"/>
        </w:rPr>
        <w:t> </w:t>
      </w:r>
      <w:r>
        <w:rPr>
          <w:b/>
          <w:sz w:val="22"/>
        </w:rPr>
        <w:t>benchmark</w:t>
      </w:r>
      <w:r>
        <w:rPr>
          <w:b/>
          <w:spacing w:val="-13"/>
          <w:sz w:val="22"/>
        </w:rPr>
        <w:t> </w:t>
      </w:r>
      <w:r>
        <w:rPr>
          <w:b/>
          <w:sz w:val="22"/>
        </w:rPr>
        <w:t>threshold</w:t>
      </w:r>
      <w:r>
        <w:rPr>
          <w:b/>
          <w:spacing w:val="-14"/>
          <w:sz w:val="22"/>
        </w:rPr>
        <w:t> </w:t>
      </w:r>
      <w:r>
        <w:rPr>
          <w:b/>
          <w:sz w:val="22"/>
        </w:rPr>
        <w:t>should</w:t>
      </w:r>
      <w:r>
        <w:rPr>
          <w:b/>
          <w:spacing w:val="-11"/>
          <w:sz w:val="22"/>
        </w:rPr>
        <w:t> </w:t>
      </w:r>
      <w:r>
        <w:rPr>
          <w:b/>
          <w:sz w:val="22"/>
        </w:rPr>
        <w:t>be</w:t>
      </w:r>
      <w:r>
        <w:rPr>
          <w:b/>
          <w:spacing w:val="-14"/>
          <w:sz w:val="22"/>
        </w:rPr>
        <w:t> </w:t>
      </w:r>
      <w:r>
        <w:rPr>
          <w:b/>
          <w:sz w:val="22"/>
        </w:rPr>
        <w:t>set</w:t>
      </w:r>
      <w:r>
        <w:rPr>
          <w:b/>
          <w:spacing w:val="-12"/>
          <w:sz w:val="22"/>
        </w:rPr>
        <w:t> </w:t>
      </w:r>
      <w:r>
        <w:rPr>
          <w:b/>
          <w:sz w:val="22"/>
        </w:rPr>
        <w:t>no</w:t>
      </w:r>
      <w:r>
        <w:rPr>
          <w:b/>
          <w:spacing w:val="-12"/>
          <w:sz w:val="22"/>
        </w:rPr>
        <w:t> </w:t>
      </w:r>
      <w:r>
        <w:rPr>
          <w:b/>
          <w:sz w:val="22"/>
        </w:rPr>
        <w:t>higher than 50% above the total number of students enrolled in the charter. The audit should provide sufficient documentation to justify the total compensation received. This analysis needs to consider </w:t>
      </w:r>
      <w:r>
        <w:rPr>
          <w:b/>
          <w:spacing w:val="-3"/>
          <w:sz w:val="22"/>
        </w:rPr>
        <w:t>ALL </w:t>
      </w:r>
      <w:r>
        <w:rPr>
          <w:b/>
          <w:sz w:val="22"/>
        </w:rPr>
        <w:t>methods that ownership and administrators use to compensate themselves including any for-profit</w:t>
      </w:r>
      <w:r>
        <w:rPr>
          <w:b/>
          <w:spacing w:val="-13"/>
          <w:sz w:val="22"/>
        </w:rPr>
        <w:t> </w:t>
      </w:r>
      <w:r>
        <w:rPr>
          <w:b/>
          <w:sz w:val="22"/>
        </w:rPr>
        <w:t>subsidiaries.</w:t>
      </w:r>
    </w:p>
    <w:p>
      <w:pPr>
        <w:pStyle w:val="ListParagraph"/>
        <w:numPr>
          <w:ilvl w:val="0"/>
          <w:numId w:val="5"/>
        </w:numPr>
        <w:tabs>
          <w:tab w:pos="2569" w:val="left" w:leader="none"/>
        </w:tabs>
        <w:spacing w:line="259" w:lineRule="auto" w:before="161" w:after="0"/>
        <w:ind w:left="2280" w:right="107" w:firstLine="0"/>
        <w:jc w:val="both"/>
        <w:rPr>
          <w:b/>
          <w:sz w:val="22"/>
        </w:rPr>
      </w:pPr>
      <w:r>
        <w:rPr>
          <w:b/>
          <w:sz w:val="22"/>
        </w:rPr>
        <w:t>Likewise, any non-instructional personnel employed by the for- profit arm of a charter operation and paid for with public</w:t>
      </w:r>
      <w:r>
        <w:rPr>
          <w:b/>
          <w:spacing w:val="-45"/>
          <w:sz w:val="22"/>
        </w:rPr>
        <w:t> </w:t>
      </w:r>
      <w:r>
        <w:rPr>
          <w:b/>
          <w:sz w:val="22"/>
        </w:rPr>
        <w:t>funds needs to have costs fully broken down in the audit, including all salary, benefit, and consulting services with a market-based justification for the</w:t>
      </w:r>
      <w:r>
        <w:rPr>
          <w:b/>
          <w:spacing w:val="-13"/>
          <w:sz w:val="22"/>
        </w:rPr>
        <w:t> </w:t>
      </w:r>
      <w:r>
        <w:rPr>
          <w:b/>
          <w:sz w:val="22"/>
        </w:rPr>
        <w:t>costs.</w:t>
      </w:r>
    </w:p>
    <w:p>
      <w:pPr>
        <w:pStyle w:val="BodyText"/>
        <w:spacing w:before="6"/>
        <w:rPr>
          <w:b/>
          <w:sz w:val="23"/>
        </w:rPr>
      </w:pPr>
    </w:p>
    <w:p>
      <w:pPr>
        <w:pStyle w:val="ListParagraph"/>
        <w:numPr>
          <w:ilvl w:val="0"/>
          <w:numId w:val="5"/>
        </w:numPr>
        <w:tabs>
          <w:tab w:pos="2619" w:val="left" w:leader="none"/>
        </w:tabs>
        <w:spacing w:line="259" w:lineRule="auto" w:before="1" w:after="0"/>
        <w:ind w:left="2280" w:right="111" w:firstLine="0"/>
        <w:jc w:val="both"/>
        <w:rPr>
          <w:b/>
          <w:sz w:val="22"/>
        </w:rPr>
      </w:pPr>
      <w:r>
        <w:rPr>
          <w:b/>
          <w:sz w:val="22"/>
        </w:rPr>
        <w:t>Charter school financial data needs to be shared with and monitored by the Auditor General’s Office just as they are for public district</w:t>
      </w:r>
      <w:r>
        <w:rPr>
          <w:b/>
          <w:spacing w:val="-7"/>
          <w:sz w:val="22"/>
        </w:rPr>
        <w:t> </w:t>
      </w:r>
      <w:r>
        <w:rPr>
          <w:b/>
          <w:sz w:val="22"/>
        </w:rPr>
        <w:t>schools.</w:t>
      </w:r>
    </w:p>
    <w:p>
      <w:pPr>
        <w:spacing w:after="0" w:line="259" w:lineRule="auto"/>
        <w:jc w:val="both"/>
        <w:rPr>
          <w:sz w:val="22"/>
        </w:rPr>
        <w:sectPr>
          <w:pgSz w:w="12240" w:h="15840"/>
          <w:pgMar w:header="740" w:footer="1002" w:top="940" w:bottom="1200" w:left="1320" w:right="1320"/>
        </w:sectPr>
      </w:pPr>
    </w:p>
    <w:p>
      <w:pPr>
        <w:pStyle w:val="BodyText"/>
        <w:rPr>
          <w:b/>
          <w:sz w:val="20"/>
        </w:rPr>
      </w:pPr>
    </w:p>
    <w:p>
      <w:pPr>
        <w:pStyle w:val="BodyText"/>
        <w:spacing w:before="1"/>
        <w:rPr>
          <w:b/>
          <w:sz w:val="21"/>
        </w:rPr>
      </w:pPr>
    </w:p>
    <w:p>
      <w:pPr>
        <w:tabs>
          <w:tab w:pos="2277" w:val="left" w:leader="none"/>
        </w:tabs>
        <w:spacing w:line="280" w:lineRule="auto" w:before="0"/>
        <w:ind w:left="2280" w:right="113" w:hanging="2163"/>
        <w:jc w:val="left"/>
        <w:rPr>
          <w:b/>
          <w:sz w:val="22"/>
        </w:rPr>
      </w:pPr>
      <w:bookmarkStart w:name="_bookmark12" w:id="13"/>
      <w:bookmarkEnd w:id="13"/>
      <w:r>
        <w:rPr/>
      </w:r>
      <w:r>
        <w:rPr>
          <w:b/>
          <w:sz w:val="22"/>
        </w:rPr>
        <w:t>Finding:</w:t>
        <w:tab/>
        <w:t>Questionable (Excessive)  distributions to shareholders </w:t>
      </w:r>
      <w:r>
        <w:rPr>
          <w:b/>
          <w:spacing w:val="11"/>
          <w:sz w:val="22"/>
        </w:rPr>
        <w:t> </w:t>
      </w:r>
      <w:r>
        <w:rPr>
          <w:b/>
          <w:sz w:val="22"/>
        </w:rPr>
        <w:t>occurred</w:t>
      </w:r>
      <w:r>
        <w:rPr>
          <w:b/>
          <w:spacing w:val="25"/>
          <w:sz w:val="22"/>
        </w:rPr>
        <w:t> </w:t>
      </w:r>
      <w:r>
        <w:rPr>
          <w:b/>
          <w:sz w:val="22"/>
        </w:rPr>
        <w:t>in</w:t>
      </w:r>
      <w:r>
        <w:rPr>
          <w:b/>
          <w:w w:val="100"/>
          <w:sz w:val="22"/>
        </w:rPr>
        <w:t> </w:t>
      </w:r>
      <w:r>
        <w:rPr>
          <w:b/>
          <w:sz w:val="22"/>
        </w:rPr>
        <w:t>2014-2015 with one-third of for-profit</w:t>
      </w:r>
      <w:r>
        <w:rPr>
          <w:b/>
          <w:spacing w:val="-34"/>
          <w:sz w:val="22"/>
        </w:rPr>
        <w:t> </w:t>
      </w:r>
      <w:r>
        <w:rPr>
          <w:b/>
          <w:sz w:val="22"/>
        </w:rPr>
        <w:t>charters.</w:t>
      </w:r>
    </w:p>
    <w:p>
      <w:pPr>
        <w:pStyle w:val="BodyText"/>
        <w:spacing w:line="276" w:lineRule="auto" w:before="199"/>
        <w:ind w:left="120" w:right="117"/>
        <w:jc w:val="both"/>
      </w:pPr>
      <w:r>
        <w:rPr/>
        <w:t>Most</w:t>
      </w:r>
      <w:r>
        <w:rPr>
          <w:spacing w:val="-9"/>
        </w:rPr>
        <w:t> </w:t>
      </w:r>
      <w:r>
        <w:rPr/>
        <w:t>charter</w:t>
      </w:r>
      <w:r>
        <w:rPr>
          <w:spacing w:val="-10"/>
        </w:rPr>
        <w:t> </w:t>
      </w:r>
      <w:r>
        <w:rPr/>
        <w:t>holders</w:t>
      </w:r>
      <w:r>
        <w:rPr>
          <w:spacing w:val="-10"/>
        </w:rPr>
        <w:t> </w:t>
      </w:r>
      <w:r>
        <w:rPr/>
        <w:t>are</w:t>
      </w:r>
      <w:r>
        <w:rPr>
          <w:spacing w:val="-8"/>
        </w:rPr>
        <w:t> </w:t>
      </w:r>
      <w:r>
        <w:rPr/>
        <w:t>nonprofits.</w:t>
      </w:r>
      <w:r>
        <w:rPr>
          <w:spacing w:val="-11"/>
        </w:rPr>
        <w:t> </w:t>
      </w:r>
      <w:r>
        <w:rPr/>
        <w:t>They</w:t>
      </w:r>
      <w:r>
        <w:rPr>
          <w:spacing w:val="-12"/>
        </w:rPr>
        <w:t> </w:t>
      </w:r>
      <w:r>
        <w:rPr/>
        <w:t>may</w:t>
      </w:r>
      <w:r>
        <w:rPr>
          <w:spacing w:val="-12"/>
        </w:rPr>
        <w:t> </w:t>
      </w:r>
      <w:r>
        <w:rPr/>
        <w:t>have</w:t>
      </w:r>
      <w:r>
        <w:rPr>
          <w:spacing w:val="-8"/>
        </w:rPr>
        <w:t> </w:t>
      </w:r>
      <w:r>
        <w:rPr/>
        <w:t>a</w:t>
      </w:r>
      <w:r>
        <w:rPr>
          <w:spacing w:val="-8"/>
        </w:rPr>
        <w:t> </w:t>
      </w:r>
      <w:r>
        <w:rPr/>
        <w:t>“for</w:t>
      </w:r>
      <w:r>
        <w:rPr>
          <w:spacing w:val="-10"/>
        </w:rPr>
        <w:t> </w:t>
      </w:r>
      <w:r>
        <w:rPr/>
        <w:t>profit”</w:t>
      </w:r>
      <w:r>
        <w:rPr>
          <w:spacing w:val="-10"/>
        </w:rPr>
        <w:t> </w:t>
      </w:r>
      <w:r>
        <w:rPr/>
        <w:t>related</w:t>
      </w:r>
      <w:r>
        <w:rPr>
          <w:spacing w:val="-8"/>
        </w:rPr>
        <w:t> </w:t>
      </w:r>
      <w:r>
        <w:rPr/>
        <w:t>organization</w:t>
      </w:r>
      <w:r>
        <w:rPr>
          <w:spacing w:val="-8"/>
        </w:rPr>
        <w:t> </w:t>
      </w:r>
      <w:r>
        <w:rPr/>
        <w:t>that they contract with, but the charter itself is a</w:t>
      </w:r>
      <w:r>
        <w:rPr>
          <w:spacing w:val="-21"/>
        </w:rPr>
        <w:t> </w:t>
      </w:r>
      <w:r>
        <w:rPr/>
        <w:t>nonprofit.</w:t>
      </w:r>
    </w:p>
    <w:p>
      <w:pPr>
        <w:pStyle w:val="BodyText"/>
        <w:spacing w:line="276" w:lineRule="auto" w:before="202"/>
        <w:ind w:left="120" w:right="113"/>
        <w:jc w:val="both"/>
      </w:pPr>
      <w:r>
        <w:rPr/>
        <w:t>Twenty-five charter holders in Arizona are for profit corporations. As a “for profit”, they can make distributions to their shareholders. This section focuses on these 25 charter holders.</w:t>
      </w:r>
    </w:p>
    <w:p>
      <w:pPr>
        <w:pStyle w:val="BodyText"/>
        <w:spacing w:line="276" w:lineRule="auto" w:before="202"/>
        <w:ind w:left="120" w:right="117"/>
        <w:jc w:val="both"/>
      </w:pPr>
      <w:r>
        <w:rPr/>
        <w:t>In normal business practice in a free market, shareholder or partner-owned businesses do not distribute dividends (distributions in charter parlance) on shares in losing years. The money goes into retained earnings instead (or comes out of retained earnings in a bad year).</w:t>
      </w:r>
    </w:p>
    <w:p>
      <w:pPr>
        <w:pStyle w:val="BodyText"/>
        <w:spacing w:line="276" w:lineRule="auto" w:before="200"/>
        <w:ind w:left="120" w:right="114"/>
        <w:jc w:val="both"/>
      </w:pPr>
      <w:r>
        <w:rPr/>
        <w:t>Eight of the 25 for profit charter schools, including three separately incorporated parts of Pinnacle Education, engage in questionable distributions to shareholders. Six for-profit entities take out more than 10% of state revenue as profit, ranging from 12% to 45% in 2014-2015. Four of the eight take out so much for distributions that it exceeds their net profit and makes the entire entity run at a net loss, including American Basic Schools, LLC, which despite net revenues of only $66,000 in 2014-2015, distributed $422,000 to shareholders.</w:t>
      </w:r>
      <w:r>
        <w:rPr>
          <w:spacing w:val="-17"/>
        </w:rPr>
        <w:t> </w:t>
      </w:r>
      <w:r>
        <w:rPr/>
        <w:t>It</w:t>
      </w:r>
      <w:r>
        <w:rPr>
          <w:spacing w:val="-16"/>
        </w:rPr>
        <w:t> </w:t>
      </w:r>
      <w:r>
        <w:rPr/>
        <w:t>is</w:t>
      </w:r>
      <w:r>
        <w:rPr>
          <w:spacing w:val="-17"/>
        </w:rPr>
        <w:t> </w:t>
      </w:r>
      <w:r>
        <w:rPr/>
        <w:t>assumed</w:t>
      </w:r>
      <w:r>
        <w:rPr>
          <w:spacing w:val="-18"/>
        </w:rPr>
        <w:t> </w:t>
      </w:r>
      <w:r>
        <w:rPr/>
        <w:t>the</w:t>
      </w:r>
      <w:r>
        <w:rPr>
          <w:spacing w:val="-18"/>
        </w:rPr>
        <w:t> </w:t>
      </w:r>
      <w:r>
        <w:rPr/>
        <w:t>money</w:t>
      </w:r>
      <w:r>
        <w:rPr>
          <w:spacing w:val="-19"/>
        </w:rPr>
        <w:t> </w:t>
      </w:r>
      <w:r>
        <w:rPr/>
        <w:t>beyond</w:t>
      </w:r>
      <w:r>
        <w:rPr>
          <w:spacing w:val="-16"/>
        </w:rPr>
        <w:t> </w:t>
      </w:r>
      <w:r>
        <w:rPr/>
        <w:t>the</w:t>
      </w:r>
      <w:r>
        <w:rPr>
          <w:spacing w:val="-16"/>
        </w:rPr>
        <w:t> </w:t>
      </w:r>
      <w:r>
        <w:rPr/>
        <w:t>net</w:t>
      </w:r>
      <w:r>
        <w:rPr>
          <w:spacing w:val="-16"/>
        </w:rPr>
        <w:t> </w:t>
      </w:r>
      <w:r>
        <w:rPr/>
        <w:t>on</w:t>
      </w:r>
      <w:r>
        <w:rPr>
          <w:spacing w:val="-16"/>
        </w:rPr>
        <w:t> </w:t>
      </w:r>
      <w:r>
        <w:rPr/>
        <w:t>the</w:t>
      </w:r>
      <w:r>
        <w:rPr>
          <w:spacing w:val="-16"/>
        </w:rPr>
        <w:t> </w:t>
      </w:r>
      <w:r>
        <w:rPr/>
        <w:t>year</w:t>
      </w:r>
      <w:r>
        <w:rPr>
          <w:spacing w:val="-17"/>
        </w:rPr>
        <w:t> </w:t>
      </w:r>
      <w:r>
        <w:rPr/>
        <w:t>is</w:t>
      </w:r>
      <w:r>
        <w:rPr>
          <w:spacing w:val="-15"/>
        </w:rPr>
        <w:t> </w:t>
      </w:r>
      <w:r>
        <w:rPr/>
        <w:t>coming</w:t>
      </w:r>
      <w:r>
        <w:rPr>
          <w:spacing w:val="-20"/>
        </w:rPr>
        <w:t> </w:t>
      </w:r>
      <w:r>
        <w:rPr/>
        <w:t>from</w:t>
      </w:r>
      <w:r>
        <w:rPr>
          <w:spacing w:val="-17"/>
        </w:rPr>
        <w:t> </w:t>
      </w:r>
      <w:r>
        <w:rPr/>
        <w:t>owners’ equity.</w:t>
      </w:r>
    </w:p>
    <w:p>
      <w:pPr>
        <w:pStyle w:val="BodyText"/>
        <w:spacing w:line="276" w:lineRule="auto" w:before="200"/>
        <w:ind w:left="120" w:right="117"/>
        <w:jc w:val="both"/>
      </w:pPr>
      <w:r>
        <w:rPr/>
        <w:t>Excessive distributions undermine the financial stability of a charter school, which is not in the interest of taxpayers or students. Over the past 25 years, the Standard and Poor 500 reported average net profit margin after all expenses never exceeded 10%. Net profits can be retained as a source of future investment or redistributed to owners. For profit</w:t>
      </w:r>
      <w:r>
        <w:rPr>
          <w:spacing w:val="-4"/>
        </w:rPr>
        <w:t> </w:t>
      </w:r>
      <w:r>
        <w:rPr/>
        <w:t>charters</w:t>
      </w:r>
      <w:r>
        <w:rPr>
          <w:spacing w:val="-7"/>
        </w:rPr>
        <w:t> </w:t>
      </w:r>
      <w:r>
        <w:rPr/>
        <w:t>distributing</w:t>
      </w:r>
      <w:r>
        <w:rPr>
          <w:spacing w:val="-6"/>
        </w:rPr>
        <w:t> </w:t>
      </w:r>
      <w:r>
        <w:rPr/>
        <w:t>more</w:t>
      </w:r>
      <w:r>
        <w:rPr>
          <w:spacing w:val="-7"/>
        </w:rPr>
        <w:t> </w:t>
      </w:r>
      <w:r>
        <w:rPr/>
        <w:t>than</w:t>
      </w:r>
      <w:r>
        <w:rPr>
          <w:spacing w:val="-6"/>
        </w:rPr>
        <w:t> </w:t>
      </w:r>
      <w:r>
        <w:rPr/>
        <w:t>10%</w:t>
      </w:r>
      <w:r>
        <w:rPr>
          <w:spacing w:val="-7"/>
        </w:rPr>
        <w:t> </w:t>
      </w:r>
      <w:r>
        <w:rPr/>
        <w:t>of</w:t>
      </w:r>
      <w:r>
        <w:rPr>
          <w:spacing w:val="-4"/>
        </w:rPr>
        <w:t> </w:t>
      </w:r>
      <w:r>
        <w:rPr/>
        <w:t>revenues</w:t>
      </w:r>
      <w:r>
        <w:rPr>
          <w:spacing w:val="-7"/>
        </w:rPr>
        <w:t> </w:t>
      </w:r>
      <w:r>
        <w:rPr/>
        <w:t>to</w:t>
      </w:r>
      <w:r>
        <w:rPr>
          <w:spacing w:val="-5"/>
        </w:rPr>
        <w:t> </w:t>
      </w:r>
      <w:r>
        <w:rPr/>
        <w:t>owners</w:t>
      </w:r>
      <w:r>
        <w:rPr>
          <w:spacing w:val="-5"/>
        </w:rPr>
        <w:t> </w:t>
      </w:r>
      <w:r>
        <w:rPr/>
        <w:t>or</w:t>
      </w:r>
      <w:r>
        <w:rPr>
          <w:spacing w:val="-7"/>
        </w:rPr>
        <w:t> </w:t>
      </w:r>
      <w:r>
        <w:rPr/>
        <w:t>pushing</w:t>
      </w:r>
      <w:r>
        <w:rPr>
          <w:spacing w:val="-8"/>
        </w:rPr>
        <w:t> </w:t>
      </w:r>
      <w:r>
        <w:rPr/>
        <w:t>an</w:t>
      </w:r>
      <w:r>
        <w:rPr>
          <w:spacing w:val="-6"/>
        </w:rPr>
        <w:t> </w:t>
      </w:r>
      <w:r>
        <w:rPr/>
        <w:t>operating surplus</w:t>
      </w:r>
      <w:r>
        <w:rPr>
          <w:spacing w:val="-2"/>
        </w:rPr>
        <w:t> </w:t>
      </w:r>
      <w:r>
        <w:rPr/>
        <w:t>into</w:t>
      </w:r>
      <w:r>
        <w:rPr>
          <w:spacing w:val="-2"/>
        </w:rPr>
        <w:t> </w:t>
      </w:r>
      <w:r>
        <w:rPr/>
        <w:t>a</w:t>
      </w:r>
      <w:r>
        <w:rPr>
          <w:spacing w:val="-1"/>
        </w:rPr>
        <w:t> </w:t>
      </w:r>
      <w:r>
        <w:rPr/>
        <w:t>loss</w:t>
      </w:r>
      <w:r>
        <w:rPr>
          <w:spacing w:val="-2"/>
        </w:rPr>
        <w:t> </w:t>
      </w:r>
      <w:r>
        <w:rPr/>
        <w:t>are</w:t>
      </w:r>
      <w:r>
        <w:rPr>
          <w:spacing w:val="-4"/>
        </w:rPr>
        <w:t> </w:t>
      </w:r>
      <w:r>
        <w:rPr/>
        <w:t>not</w:t>
      </w:r>
      <w:r>
        <w:rPr>
          <w:spacing w:val="-4"/>
        </w:rPr>
        <w:t> </w:t>
      </w:r>
      <w:r>
        <w:rPr/>
        <w:t>acting</w:t>
      </w:r>
      <w:r>
        <w:rPr>
          <w:spacing w:val="-4"/>
        </w:rPr>
        <w:t> </w:t>
      </w:r>
      <w:r>
        <w:rPr/>
        <w:t>as</w:t>
      </w:r>
      <w:r>
        <w:rPr>
          <w:spacing w:val="-2"/>
        </w:rPr>
        <w:t> </w:t>
      </w:r>
      <w:r>
        <w:rPr/>
        <w:t>good</w:t>
      </w:r>
      <w:r>
        <w:rPr>
          <w:spacing w:val="-2"/>
        </w:rPr>
        <w:t> </w:t>
      </w:r>
      <w:r>
        <w:rPr/>
        <w:t>stewards</w:t>
      </w:r>
      <w:r>
        <w:rPr>
          <w:spacing w:val="-2"/>
        </w:rPr>
        <w:t> </w:t>
      </w:r>
      <w:r>
        <w:rPr/>
        <w:t>of taxpayer</w:t>
      </w:r>
      <w:r>
        <w:rPr>
          <w:spacing w:val="-34"/>
        </w:rPr>
        <w:t> </w:t>
      </w:r>
      <w:r>
        <w:rPr/>
        <w:t>funds.</w:t>
      </w:r>
    </w:p>
    <w:p>
      <w:pPr>
        <w:spacing w:line="259" w:lineRule="auto" w:before="194"/>
        <w:ind w:left="2179" w:right="115" w:hanging="2062"/>
        <w:jc w:val="both"/>
        <w:rPr>
          <w:b/>
          <w:sz w:val="22"/>
        </w:rPr>
      </w:pPr>
      <w:r>
        <w:rPr>
          <w:b/>
          <w:sz w:val="22"/>
        </w:rPr>
        <w:t>Recommendations: The </w:t>
      </w:r>
      <w:r>
        <w:rPr>
          <w:b/>
          <w:spacing w:val="-3"/>
          <w:sz w:val="22"/>
        </w:rPr>
        <w:t>ASBCS </w:t>
      </w:r>
      <w:r>
        <w:rPr>
          <w:b/>
          <w:sz w:val="22"/>
        </w:rPr>
        <w:t>should be monitoring and approving any distributions in excess of the charter’s net for the year. Documentation on where the funding</w:t>
      </w:r>
      <w:r>
        <w:rPr>
          <w:b/>
          <w:spacing w:val="-5"/>
          <w:sz w:val="22"/>
        </w:rPr>
        <w:t> </w:t>
      </w:r>
      <w:r>
        <w:rPr>
          <w:b/>
          <w:sz w:val="22"/>
        </w:rPr>
        <w:t>for</w:t>
      </w:r>
      <w:r>
        <w:rPr>
          <w:b/>
          <w:spacing w:val="-5"/>
          <w:sz w:val="22"/>
        </w:rPr>
        <w:t> </w:t>
      </w:r>
      <w:r>
        <w:rPr>
          <w:b/>
          <w:sz w:val="22"/>
        </w:rPr>
        <w:t>the</w:t>
      </w:r>
      <w:r>
        <w:rPr>
          <w:b/>
          <w:spacing w:val="-6"/>
          <w:sz w:val="22"/>
        </w:rPr>
        <w:t> </w:t>
      </w:r>
      <w:r>
        <w:rPr>
          <w:b/>
          <w:sz w:val="22"/>
        </w:rPr>
        <w:t>distribution</w:t>
      </w:r>
      <w:r>
        <w:rPr>
          <w:b/>
          <w:spacing w:val="-6"/>
          <w:sz w:val="22"/>
        </w:rPr>
        <w:t> </w:t>
      </w:r>
      <w:r>
        <w:rPr>
          <w:b/>
          <w:sz w:val="22"/>
        </w:rPr>
        <w:t>came</w:t>
      </w:r>
      <w:r>
        <w:rPr>
          <w:b/>
          <w:spacing w:val="-5"/>
          <w:sz w:val="22"/>
        </w:rPr>
        <w:t> </w:t>
      </w:r>
      <w:r>
        <w:rPr>
          <w:b/>
          <w:sz w:val="22"/>
        </w:rPr>
        <w:t>from</w:t>
      </w:r>
      <w:r>
        <w:rPr>
          <w:b/>
          <w:spacing w:val="-5"/>
          <w:sz w:val="22"/>
        </w:rPr>
        <w:t> </w:t>
      </w:r>
      <w:r>
        <w:rPr>
          <w:b/>
          <w:sz w:val="22"/>
        </w:rPr>
        <w:t>needs</w:t>
      </w:r>
      <w:r>
        <w:rPr>
          <w:b/>
          <w:spacing w:val="-5"/>
          <w:sz w:val="22"/>
        </w:rPr>
        <w:t> </w:t>
      </w:r>
      <w:r>
        <w:rPr>
          <w:b/>
          <w:sz w:val="22"/>
        </w:rPr>
        <w:t>to</w:t>
      </w:r>
      <w:r>
        <w:rPr>
          <w:b/>
          <w:spacing w:val="-3"/>
          <w:sz w:val="22"/>
        </w:rPr>
        <w:t> </w:t>
      </w:r>
      <w:r>
        <w:rPr>
          <w:b/>
          <w:sz w:val="22"/>
        </w:rPr>
        <w:t>be</w:t>
      </w:r>
      <w:r>
        <w:rPr>
          <w:b/>
          <w:spacing w:val="-8"/>
          <w:sz w:val="22"/>
        </w:rPr>
        <w:t> </w:t>
      </w:r>
      <w:r>
        <w:rPr>
          <w:b/>
          <w:sz w:val="22"/>
        </w:rPr>
        <w:t>include</w:t>
      </w:r>
      <w:r>
        <w:rPr>
          <w:b/>
          <w:spacing w:val="-8"/>
          <w:sz w:val="22"/>
        </w:rPr>
        <w:t> </w:t>
      </w:r>
      <w:r>
        <w:rPr>
          <w:b/>
          <w:sz w:val="22"/>
        </w:rPr>
        <w:t>in</w:t>
      </w:r>
      <w:r>
        <w:rPr>
          <w:b/>
          <w:spacing w:val="-5"/>
          <w:sz w:val="22"/>
        </w:rPr>
        <w:t> </w:t>
      </w:r>
      <w:r>
        <w:rPr>
          <w:b/>
          <w:sz w:val="22"/>
        </w:rPr>
        <w:t>the</w:t>
      </w:r>
      <w:r>
        <w:rPr>
          <w:b/>
          <w:spacing w:val="-6"/>
          <w:sz w:val="22"/>
        </w:rPr>
        <w:t> </w:t>
      </w:r>
      <w:r>
        <w:rPr>
          <w:b/>
          <w:sz w:val="22"/>
        </w:rPr>
        <w:t>audit information. Draws on Owner’s Equity for distributions need to evaluated and checked against the company’s fiscal position on the ASBCS' Financial Performance</w:t>
      </w:r>
      <w:r>
        <w:rPr>
          <w:b/>
          <w:spacing w:val="-13"/>
          <w:sz w:val="22"/>
        </w:rPr>
        <w:t> </w:t>
      </w:r>
      <w:r>
        <w:rPr>
          <w:b/>
          <w:sz w:val="22"/>
        </w:rPr>
        <w:t>Recommendations.</w:t>
      </w:r>
    </w:p>
    <w:p>
      <w:pPr>
        <w:spacing w:after="0" w:line="259" w:lineRule="auto"/>
        <w:jc w:val="both"/>
        <w:rPr>
          <w:sz w:val="22"/>
        </w:rPr>
        <w:sectPr>
          <w:headerReference w:type="default" r:id="rId12"/>
          <w:pgSz w:w="12240" w:h="15840"/>
          <w:pgMar w:header="760" w:footer="1002" w:top="2620" w:bottom="1200" w:left="1320" w:right="1320"/>
        </w:sectPr>
      </w:pPr>
    </w:p>
    <w:p>
      <w:pPr>
        <w:pStyle w:val="BodyText"/>
        <w:rPr>
          <w:b/>
          <w:sz w:val="20"/>
        </w:rPr>
      </w:pPr>
    </w:p>
    <w:p>
      <w:pPr>
        <w:pStyle w:val="BodyText"/>
        <w:spacing w:before="5"/>
        <w:rPr>
          <w:b/>
          <w:sz w:val="16"/>
        </w:rPr>
      </w:pPr>
    </w:p>
    <w:p>
      <w:pPr>
        <w:tabs>
          <w:tab w:pos="2285" w:val="left" w:leader="none"/>
        </w:tabs>
        <w:spacing w:line="280" w:lineRule="auto" w:before="94"/>
        <w:ind w:left="2285" w:right="112" w:hanging="2160"/>
        <w:jc w:val="left"/>
        <w:rPr>
          <w:b/>
          <w:sz w:val="22"/>
        </w:rPr>
      </w:pPr>
      <w:bookmarkStart w:name="_bookmark13" w:id="14"/>
      <w:bookmarkEnd w:id="14"/>
      <w:r>
        <w:rPr/>
      </w:r>
      <w:r>
        <w:rPr>
          <w:b/>
          <w:sz w:val="22"/>
        </w:rPr>
        <w:t>Finding:</w:t>
        <w:tab/>
        <w:t>While  public district  schools in 2014-2015 put  51.5%  </w:t>
      </w:r>
      <w:r>
        <w:rPr>
          <w:b/>
          <w:spacing w:val="7"/>
          <w:sz w:val="22"/>
        </w:rPr>
        <w:t> </w:t>
      </w:r>
      <w:r>
        <w:rPr>
          <w:b/>
          <w:sz w:val="22"/>
        </w:rPr>
        <w:t>of</w:t>
      </w:r>
      <w:r>
        <w:rPr>
          <w:b/>
          <w:spacing w:val="42"/>
          <w:sz w:val="22"/>
        </w:rPr>
        <w:t> </w:t>
      </w:r>
      <w:r>
        <w:rPr>
          <w:b/>
          <w:sz w:val="22"/>
        </w:rPr>
        <w:t>resources</w:t>
      </w:r>
      <w:r>
        <w:rPr>
          <w:b/>
          <w:w w:val="100"/>
          <w:sz w:val="22"/>
        </w:rPr>
        <w:t> </w:t>
      </w:r>
      <w:r>
        <w:rPr>
          <w:b/>
          <w:sz w:val="22"/>
        </w:rPr>
        <w:t>directly into the classroom, charters only average</w:t>
      </w:r>
      <w:r>
        <w:rPr>
          <w:b/>
          <w:spacing w:val="-32"/>
          <w:sz w:val="22"/>
        </w:rPr>
        <w:t> </w:t>
      </w:r>
      <w:r>
        <w:rPr>
          <w:b/>
          <w:sz w:val="22"/>
        </w:rPr>
        <w:t>47.5%.</w:t>
      </w:r>
    </w:p>
    <w:p>
      <w:pPr>
        <w:pStyle w:val="BodyText"/>
        <w:spacing w:line="276" w:lineRule="auto" w:before="200"/>
        <w:ind w:left="125" w:right="113"/>
        <w:jc w:val="both"/>
      </w:pPr>
      <w:r>
        <w:rPr/>
        <w:t>While most executives and top administrators in the charter sector receive excessive compensation compared to their public district school counterparts, teachers in charters on average are paid more than 20% less than district teachers often without any retirement benefit (to be detailed in the third policy report). Consequently, charters put less</w:t>
      </w:r>
      <w:r>
        <w:rPr>
          <w:spacing w:val="-17"/>
        </w:rPr>
        <w:t> </w:t>
      </w:r>
      <w:r>
        <w:rPr/>
        <w:t>resources</w:t>
      </w:r>
      <w:r>
        <w:rPr>
          <w:spacing w:val="-19"/>
        </w:rPr>
        <w:t> </w:t>
      </w:r>
      <w:r>
        <w:rPr/>
        <w:t>into</w:t>
      </w:r>
      <w:r>
        <w:rPr>
          <w:spacing w:val="-17"/>
        </w:rPr>
        <w:t> </w:t>
      </w:r>
      <w:r>
        <w:rPr/>
        <w:t>the</w:t>
      </w:r>
      <w:r>
        <w:rPr>
          <w:spacing w:val="-19"/>
        </w:rPr>
        <w:t> </w:t>
      </w:r>
      <w:r>
        <w:rPr/>
        <w:t>classroom,</w:t>
      </w:r>
      <w:r>
        <w:rPr>
          <w:spacing w:val="-17"/>
        </w:rPr>
        <w:t> </w:t>
      </w:r>
      <w:r>
        <w:rPr/>
        <w:t>and</w:t>
      </w:r>
      <w:r>
        <w:rPr>
          <w:spacing w:val="-19"/>
        </w:rPr>
        <w:t> </w:t>
      </w:r>
      <w:r>
        <w:rPr/>
        <w:t>more</w:t>
      </w:r>
      <w:r>
        <w:rPr>
          <w:spacing w:val="-17"/>
        </w:rPr>
        <w:t> </w:t>
      </w:r>
      <w:r>
        <w:rPr/>
        <w:t>into</w:t>
      </w:r>
      <w:r>
        <w:rPr>
          <w:spacing w:val="-16"/>
        </w:rPr>
        <w:t> </w:t>
      </w:r>
      <w:r>
        <w:rPr/>
        <w:t>compensating</w:t>
      </w:r>
      <w:r>
        <w:rPr>
          <w:spacing w:val="-19"/>
        </w:rPr>
        <w:t> </w:t>
      </w:r>
      <w:r>
        <w:rPr/>
        <w:t>those</w:t>
      </w:r>
      <w:r>
        <w:rPr>
          <w:spacing w:val="-20"/>
        </w:rPr>
        <w:t> </w:t>
      </w:r>
      <w:r>
        <w:rPr/>
        <w:t>who</w:t>
      </w:r>
      <w:r>
        <w:rPr>
          <w:spacing w:val="-17"/>
        </w:rPr>
        <w:t> </w:t>
      </w:r>
      <w:r>
        <w:rPr/>
        <w:t>own</w:t>
      </w:r>
      <w:r>
        <w:rPr>
          <w:spacing w:val="-17"/>
        </w:rPr>
        <w:t> </w:t>
      </w:r>
      <w:r>
        <w:rPr/>
        <w:t>or</w:t>
      </w:r>
      <w:r>
        <w:rPr>
          <w:spacing w:val="-18"/>
        </w:rPr>
        <w:t> </w:t>
      </w:r>
      <w:r>
        <w:rPr/>
        <w:t>operate the</w:t>
      </w:r>
      <w:r>
        <w:rPr>
          <w:spacing w:val="-2"/>
        </w:rPr>
        <w:t> </w:t>
      </w:r>
      <w:r>
        <w:rPr/>
        <w:t>charter.</w:t>
      </w:r>
    </w:p>
    <w:p>
      <w:pPr>
        <w:pStyle w:val="BodyText"/>
        <w:spacing w:line="276" w:lineRule="auto" w:before="199"/>
        <w:ind w:left="125" w:right="113"/>
        <w:jc w:val="both"/>
      </w:pPr>
      <w:r>
        <w:rPr/>
        <w:t>In 2013-2014, the Auditor General reported public district schools as devoting 52% of all spending in the classroom. In contrast, charters only put 45% as found in the Annual Report</w:t>
      </w:r>
      <w:r>
        <w:rPr>
          <w:spacing w:val="-13"/>
        </w:rPr>
        <w:t> </w:t>
      </w:r>
      <w:r>
        <w:rPr/>
        <w:t>of</w:t>
      </w:r>
      <w:r>
        <w:rPr>
          <w:spacing w:val="-12"/>
        </w:rPr>
        <w:t> </w:t>
      </w:r>
      <w:r>
        <w:rPr/>
        <w:t>the</w:t>
      </w:r>
      <w:r>
        <w:rPr>
          <w:spacing w:val="-14"/>
        </w:rPr>
        <w:t> </w:t>
      </w:r>
      <w:r>
        <w:rPr/>
        <w:t>Arizona</w:t>
      </w:r>
      <w:r>
        <w:rPr>
          <w:spacing w:val="-12"/>
        </w:rPr>
        <w:t> </w:t>
      </w:r>
      <w:r>
        <w:rPr/>
        <w:t>Superintendent</w:t>
      </w:r>
      <w:r>
        <w:rPr>
          <w:spacing w:val="-12"/>
        </w:rPr>
        <w:t> </w:t>
      </w:r>
      <w:r>
        <w:rPr/>
        <w:t>of</w:t>
      </w:r>
      <w:r>
        <w:rPr>
          <w:spacing w:val="-12"/>
        </w:rPr>
        <w:t> </w:t>
      </w:r>
      <w:r>
        <w:rPr/>
        <w:t>Public</w:t>
      </w:r>
      <w:r>
        <w:rPr>
          <w:spacing w:val="-13"/>
        </w:rPr>
        <w:t> </w:t>
      </w:r>
      <w:r>
        <w:rPr/>
        <w:t>Instruction.</w:t>
      </w:r>
      <w:r>
        <w:rPr>
          <w:spacing w:val="-12"/>
        </w:rPr>
        <w:t> </w:t>
      </w:r>
      <w:r>
        <w:rPr/>
        <w:t>At</w:t>
      </w:r>
      <w:r>
        <w:rPr>
          <w:spacing w:val="-12"/>
        </w:rPr>
        <w:t> </w:t>
      </w:r>
      <w:r>
        <w:rPr/>
        <w:t>the</w:t>
      </w:r>
      <w:r>
        <w:rPr>
          <w:spacing w:val="-14"/>
        </w:rPr>
        <w:t> </w:t>
      </w:r>
      <w:r>
        <w:rPr/>
        <w:t>end</w:t>
      </w:r>
      <w:r>
        <w:rPr>
          <w:spacing w:val="-12"/>
        </w:rPr>
        <w:t> </w:t>
      </w:r>
      <w:r>
        <w:rPr/>
        <w:t>of</w:t>
      </w:r>
      <w:r>
        <w:rPr>
          <w:spacing w:val="-10"/>
        </w:rPr>
        <w:t> </w:t>
      </w:r>
      <w:r>
        <w:rPr/>
        <w:t>Fiscal</w:t>
      </w:r>
      <w:r>
        <w:rPr>
          <w:spacing w:val="-13"/>
        </w:rPr>
        <w:t> </w:t>
      </w:r>
      <w:r>
        <w:rPr/>
        <w:t>Year</w:t>
      </w:r>
      <w:r>
        <w:rPr>
          <w:spacing w:val="-13"/>
        </w:rPr>
        <w:t> </w:t>
      </w:r>
      <w:r>
        <w:rPr/>
        <w:t>2015 the numbers were 51.5% for District Classroom Spending</w:t>
      </w:r>
      <w:hyperlink w:history="true" w:anchor="_bookmark14">
        <w:r>
          <w:rPr>
            <w:position w:val="8"/>
            <w:sz w:val="16"/>
          </w:rPr>
          <w:t>7</w:t>
        </w:r>
      </w:hyperlink>
      <w:r>
        <w:rPr>
          <w:position w:val="8"/>
          <w:sz w:val="16"/>
        </w:rPr>
        <w:t> </w:t>
      </w:r>
      <w:r>
        <w:rPr/>
        <w:t>and 47.5% for Charter Classroom Spending. Student Support Levels at Charters was 4.9% to Districts at 7.9%. Ten years of data show that this disparity in classroom spending is a trend. However, because the Auditor General only does an annual report on public district schools—they are the only ones publicly made accountable for the distribution of their spending in the areas monitored</w:t>
      </w:r>
      <w:hyperlink w:history="true" w:anchor="_bookmark15">
        <w:r>
          <w:rPr>
            <w:position w:val="8"/>
            <w:sz w:val="16"/>
          </w:rPr>
          <w:t>8</w:t>
        </w:r>
      </w:hyperlink>
      <w:r>
        <w:rPr/>
        <w:t>. (Davenport, 2016</w:t>
      </w:r>
      <w:r>
        <w:rPr>
          <w:spacing w:val="-14"/>
        </w:rPr>
        <w:t> </w:t>
      </w:r>
      <w:r>
        <w:rPr/>
        <w:t>#1179)</w:t>
      </w:r>
    </w:p>
    <w:p>
      <w:pPr>
        <w:spacing w:line="256" w:lineRule="auto" w:before="193"/>
        <w:ind w:left="2165" w:right="113" w:hanging="2040"/>
        <w:jc w:val="left"/>
        <w:rPr>
          <w:b/>
          <w:sz w:val="22"/>
        </w:rPr>
      </w:pPr>
      <w:r>
        <w:rPr>
          <w:b/>
          <w:sz w:val="22"/>
        </w:rPr>
        <w:t>Recommendation: Charter school financial data needs to be shared with and monitored by the Auditor General’s Office just as it is for public district schools.</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9"/>
        </w:rPr>
      </w:pPr>
      <w:r>
        <w:rPr/>
        <w:pict>
          <v:line style="position:absolute;mso-position-horizontal-relative:page;mso-position-vertical-relative:paragraph;z-index:1192;mso-wrap-distance-left:0;mso-wrap-distance-right:0" from="72pt,19.018213pt" to="216pt,19.018213pt" stroked="true" strokeweight=".72pt" strokecolor="#000000">
            <v:stroke dashstyle="solid"/>
            <w10:wrap type="topAndBottom"/>
          </v:line>
        </w:pict>
      </w:r>
    </w:p>
    <w:p>
      <w:pPr>
        <w:spacing w:before="55"/>
        <w:ind w:left="125" w:right="113" w:firstLine="0"/>
        <w:jc w:val="left"/>
        <w:rPr>
          <w:rFonts w:ascii="Calibri"/>
          <w:sz w:val="20"/>
        </w:rPr>
      </w:pPr>
      <w:bookmarkStart w:name="_bookmark14" w:id="15"/>
      <w:bookmarkEnd w:id="15"/>
      <w:r>
        <w:rPr/>
      </w:r>
      <w:r>
        <w:rPr>
          <w:rFonts w:ascii="Calibri"/>
          <w:position w:val="7"/>
          <w:sz w:val="13"/>
        </w:rPr>
        <w:t>7 </w:t>
      </w:r>
      <w:r>
        <w:rPr>
          <w:rFonts w:ascii="Calibri"/>
          <w:sz w:val="20"/>
        </w:rPr>
        <w:t>This change in classroom spending triggered a call for a report on District Spending on Classrooms Expenses, charter spending on classrooms or classroom support accounts was NOT part of the report.</w:t>
      </w:r>
    </w:p>
    <w:p>
      <w:pPr>
        <w:spacing w:before="0"/>
        <w:ind w:left="125" w:right="0" w:firstLine="0"/>
        <w:jc w:val="left"/>
        <w:rPr>
          <w:rFonts w:ascii="Calibri"/>
          <w:sz w:val="20"/>
        </w:rPr>
      </w:pPr>
      <w:bookmarkStart w:name="_bookmark15" w:id="16"/>
      <w:bookmarkEnd w:id="16"/>
      <w:r>
        <w:rPr/>
      </w:r>
      <w:r>
        <w:rPr>
          <w:rFonts w:ascii="Calibri"/>
          <w:position w:val="7"/>
          <w:sz w:val="13"/>
        </w:rPr>
        <w:t>8 </w:t>
      </w:r>
      <w:r>
        <w:rPr>
          <w:rFonts w:ascii="Calibri"/>
          <w:sz w:val="20"/>
        </w:rPr>
        <w:t>The report provides data on Classroom Spending (instruction), Classroom Supplies, Administration, Student Support, and Other Support. The report is only as accurate as the data provided by the charters on their Annual Financial Reviews (pgs. 2, 7 and 10).</w:t>
      </w:r>
    </w:p>
    <w:p>
      <w:pPr>
        <w:spacing w:after="0"/>
        <w:jc w:val="left"/>
        <w:rPr>
          <w:rFonts w:ascii="Calibri"/>
          <w:sz w:val="20"/>
        </w:rPr>
        <w:sectPr>
          <w:pgSz w:w="12240" w:h="15840"/>
          <w:pgMar w:header="760" w:footer="1002" w:top="2680" w:bottom="1200" w:left="1320" w:right="1320"/>
        </w:sectPr>
      </w:pPr>
    </w:p>
    <w:p>
      <w:pPr>
        <w:pStyle w:val="BodyText"/>
        <w:rPr>
          <w:rFonts w:ascii="Calibri"/>
          <w:sz w:val="20"/>
        </w:rPr>
      </w:pPr>
    </w:p>
    <w:p>
      <w:pPr>
        <w:pStyle w:val="BodyText"/>
        <w:spacing w:before="12"/>
        <w:rPr>
          <w:rFonts w:ascii="Calibri"/>
          <w:sz w:val="21"/>
        </w:rPr>
      </w:pPr>
    </w:p>
    <w:p>
      <w:pPr>
        <w:tabs>
          <w:tab w:pos="2265" w:val="left" w:leader="none"/>
        </w:tabs>
        <w:spacing w:line="276" w:lineRule="auto" w:before="0"/>
        <w:ind w:left="2265" w:right="337" w:hanging="2160"/>
        <w:jc w:val="both"/>
        <w:rPr>
          <w:b/>
          <w:sz w:val="22"/>
        </w:rPr>
      </w:pPr>
      <w:bookmarkStart w:name="_bookmark16" w:id="17"/>
      <w:bookmarkEnd w:id="17"/>
      <w:r>
        <w:rPr/>
      </w:r>
      <w:r>
        <w:rPr>
          <w:b/>
          <w:sz w:val="22"/>
        </w:rPr>
        <w:t>Finding:</w:t>
        <w:tab/>
        <w:t>The charter sector as a whole underperforms</w:t>
      </w:r>
      <w:r>
        <w:rPr>
          <w:b/>
          <w:spacing w:val="-13"/>
          <w:sz w:val="22"/>
        </w:rPr>
        <w:t> </w:t>
      </w:r>
      <w:r>
        <w:rPr>
          <w:b/>
          <w:sz w:val="22"/>
        </w:rPr>
        <w:t>academically</w:t>
      </w:r>
      <w:r>
        <w:rPr>
          <w:b/>
          <w:spacing w:val="-9"/>
          <w:sz w:val="22"/>
        </w:rPr>
        <w:t> </w:t>
      </w:r>
      <w:r>
        <w:rPr>
          <w:b/>
          <w:sz w:val="22"/>
        </w:rPr>
        <w:t>relative</w:t>
      </w:r>
      <w:r>
        <w:rPr>
          <w:b/>
          <w:w w:val="100"/>
          <w:sz w:val="22"/>
        </w:rPr>
        <w:t> </w:t>
      </w:r>
      <w:r>
        <w:rPr>
          <w:b/>
          <w:sz w:val="22"/>
        </w:rPr>
        <w:t>to similar demographic students in public district schools. On line charters show particularly poor academic</w:t>
      </w:r>
      <w:r>
        <w:rPr>
          <w:b/>
          <w:spacing w:val="-30"/>
          <w:sz w:val="22"/>
        </w:rPr>
        <w:t> </w:t>
      </w:r>
      <w:r>
        <w:rPr>
          <w:b/>
          <w:sz w:val="22"/>
        </w:rPr>
        <w:t>performance.</w:t>
      </w:r>
    </w:p>
    <w:p>
      <w:pPr>
        <w:pStyle w:val="BodyText"/>
        <w:spacing w:line="276" w:lineRule="auto" w:before="208"/>
        <w:ind w:left="105" w:right="116"/>
        <w:jc w:val="both"/>
      </w:pPr>
      <w:r>
        <w:rPr/>
        <w:t>While some of Arizona’s college-prep charters focusing on attracting high-achieving students with a rigorous curriculum have gotten significant attention in the media, two independent studies using student-level data have found the charter sector as a whole for</w:t>
      </w:r>
      <w:r>
        <w:rPr>
          <w:spacing w:val="-16"/>
        </w:rPr>
        <w:t> </w:t>
      </w:r>
      <w:r>
        <w:rPr/>
        <w:t>similar</w:t>
      </w:r>
      <w:r>
        <w:rPr>
          <w:spacing w:val="-16"/>
        </w:rPr>
        <w:t> </w:t>
      </w:r>
      <w:r>
        <w:rPr/>
        <w:t>demographic</w:t>
      </w:r>
      <w:r>
        <w:rPr>
          <w:spacing w:val="-15"/>
        </w:rPr>
        <w:t> </w:t>
      </w:r>
      <w:r>
        <w:rPr/>
        <w:t>students</w:t>
      </w:r>
      <w:r>
        <w:rPr>
          <w:spacing w:val="-14"/>
        </w:rPr>
        <w:t> </w:t>
      </w:r>
      <w:r>
        <w:rPr/>
        <w:t>underperforms</w:t>
      </w:r>
      <w:r>
        <w:rPr>
          <w:spacing w:val="-15"/>
        </w:rPr>
        <w:t> </w:t>
      </w:r>
      <w:r>
        <w:rPr/>
        <w:t>relative</w:t>
      </w:r>
      <w:r>
        <w:rPr>
          <w:spacing w:val="-14"/>
        </w:rPr>
        <w:t> </w:t>
      </w:r>
      <w:r>
        <w:rPr/>
        <w:t>to</w:t>
      </w:r>
      <w:r>
        <w:rPr>
          <w:spacing w:val="-14"/>
        </w:rPr>
        <w:t> </w:t>
      </w:r>
      <w:r>
        <w:rPr/>
        <w:t>the</w:t>
      </w:r>
      <w:r>
        <w:rPr>
          <w:spacing w:val="-17"/>
        </w:rPr>
        <w:t> </w:t>
      </w:r>
      <w:r>
        <w:rPr/>
        <w:t>public</w:t>
      </w:r>
      <w:r>
        <w:rPr>
          <w:spacing w:val="-15"/>
        </w:rPr>
        <w:t> </w:t>
      </w:r>
      <w:r>
        <w:rPr/>
        <w:t>district</w:t>
      </w:r>
      <w:r>
        <w:rPr>
          <w:spacing w:val="-14"/>
        </w:rPr>
        <w:t> </w:t>
      </w:r>
      <w:r>
        <w:rPr/>
        <w:t>schools.</w:t>
      </w:r>
      <w:r>
        <w:rPr>
          <w:spacing w:val="-17"/>
        </w:rPr>
        <w:t> </w:t>
      </w:r>
      <w:r>
        <w:rPr/>
        <w:t>The studies were by the Center for Research on Education Outcomes (CREDO) out of Stanford University and by the Brookings Institution at the behest of the Goldwater Institute.</w:t>
      </w:r>
      <w:r>
        <w:rPr>
          <w:spacing w:val="-15"/>
        </w:rPr>
        <w:t> </w:t>
      </w:r>
      <w:r>
        <w:rPr/>
        <w:t>While</w:t>
      </w:r>
      <w:r>
        <w:rPr>
          <w:spacing w:val="-8"/>
        </w:rPr>
        <w:t> </w:t>
      </w:r>
      <w:r>
        <w:rPr/>
        <w:t>as</w:t>
      </w:r>
      <w:r>
        <w:rPr>
          <w:spacing w:val="-9"/>
        </w:rPr>
        <w:t> </w:t>
      </w:r>
      <w:r>
        <w:rPr/>
        <w:t>with</w:t>
      </w:r>
      <w:r>
        <w:rPr>
          <w:spacing w:val="-10"/>
        </w:rPr>
        <w:t> </w:t>
      </w:r>
      <w:r>
        <w:rPr/>
        <w:t>public</w:t>
      </w:r>
      <w:r>
        <w:rPr>
          <w:spacing w:val="-9"/>
        </w:rPr>
        <w:t> </w:t>
      </w:r>
      <w:r>
        <w:rPr/>
        <w:t>district</w:t>
      </w:r>
      <w:r>
        <w:rPr>
          <w:spacing w:val="-9"/>
        </w:rPr>
        <w:t> </w:t>
      </w:r>
      <w:r>
        <w:rPr/>
        <w:t>schools,</w:t>
      </w:r>
      <w:r>
        <w:rPr>
          <w:spacing w:val="-11"/>
        </w:rPr>
        <w:t> </w:t>
      </w:r>
      <w:r>
        <w:rPr/>
        <w:t>some</w:t>
      </w:r>
      <w:r>
        <w:rPr>
          <w:spacing w:val="-8"/>
        </w:rPr>
        <w:t> </w:t>
      </w:r>
      <w:r>
        <w:rPr/>
        <w:t>charters</w:t>
      </w:r>
      <w:r>
        <w:rPr>
          <w:spacing w:val="-10"/>
        </w:rPr>
        <w:t> </w:t>
      </w:r>
      <w:r>
        <w:rPr/>
        <w:t>certainly</w:t>
      </w:r>
      <w:r>
        <w:rPr>
          <w:spacing w:val="-11"/>
        </w:rPr>
        <w:t> </w:t>
      </w:r>
      <w:r>
        <w:rPr/>
        <w:t>perform</w:t>
      </w:r>
      <w:r>
        <w:rPr>
          <w:spacing w:val="-10"/>
        </w:rPr>
        <w:t> </w:t>
      </w:r>
      <w:r>
        <w:rPr/>
        <w:t>better,</w:t>
      </w:r>
      <w:r>
        <w:rPr>
          <w:spacing w:val="50"/>
        </w:rPr>
        <w:t> </w:t>
      </w:r>
      <w:r>
        <w:rPr/>
        <w:t>the overall</w:t>
      </w:r>
      <w:r>
        <w:rPr>
          <w:spacing w:val="-7"/>
        </w:rPr>
        <w:t> </w:t>
      </w:r>
      <w:r>
        <w:rPr/>
        <w:t>results</w:t>
      </w:r>
      <w:r>
        <w:rPr>
          <w:spacing w:val="-7"/>
        </w:rPr>
        <w:t> </w:t>
      </w:r>
      <w:r>
        <w:rPr/>
        <w:t>suggest</w:t>
      </w:r>
      <w:r>
        <w:rPr>
          <w:spacing w:val="-9"/>
        </w:rPr>
        <w:t> </w:t>
      </w:r>
      <w:r>
        <w:rPr/>
        <w:t>school</w:t>
      </w:r>
      <w:r>
        <w:rPr>
          <w:spacing w:val="-10"/>
        </w:rPr>
        <w:t> </w:t>
      </w:r>
      <w:r>
        <w:rPr/>
        <w:t>choice,</w:t>
      </w:r>
      <w:r>
        <w:rPr>
          <w:spacing w:val="-9"/>
        </w:rPr>
        <w:t> </w:t>
      </w:r>
      <w:r>
        <w:rPr/>
        <w:t>as</w:t>
      </w:r>
      <w:r>
        <w:rPr>
          <w:spacing w:val="-9"/>
        </w:rPr>
        <w:t> </w:t>
      </w:r>
      <w:r>
        <w:rPr/>
        <w:t>presently</w:t>
      </w:r>
      <w:r>
        <w:rPr>
          <w:spacing w:val="-9"/>
        </w:rPr>
        <w:t> </w:t>
      </w:r>
      <w:r>
        <w:rPr/>
        <w:t>designed,</w:t>
      </w:r>
      <w:r>
        <w:rPr>
          <w:spacing w:val="-6"/>
        </w:rPr>
        <w:t> </w:t>
      </w:r>
      <w:r>
        <w:rPr/>
        <w:t>is</w:t>
      </w:r>
      <w:r>
        <w:rPr>
          <w:spacing w:val="-10"/>
        </w:rPr>
        <w:t> </w:t>
      </w:r>
      <w:r>
        <w:rPr/>
        <w:t>not</w:t>
      </w:r>
      <w:r>
        <w:rPr>
          <w:spacing w:val="-9"/>
        </w:rPr>
        <w:t> </w:t>
      </w:r>
      <w:r>
        <w:rPr/>
        <w:t>functioning</w:t>
      </w:r>
      <w:r>
        <w:rPr>
          <w:spacing w:val="-8"/>
        </w:rPr>
        <w:t> </w:t>
      </w:r>
      <w:r>
        <w:rPr/>
        <w:t>as</w:t>
      </w:r>
      <w:r>
        <w:rPr>
          <w:spacing w:val="-9"/>
        </w:rPr>
        <w:t> </w:t>
      </w:r>
      <w:r>
        <w:rPr/>
        <w:t>well</w:t>
      </w:r>
      <w:r>
        <w:rPr>
          <w:spacing w:val="-8"/>
        </w:rPr>
        <w:t> </w:t>
      </w:r>
      <w:r>
        <w:rPr/>
        <w:t>as it could or, based on CREDO’s results, as well as in other</w:t>
      </w:r>
      <w:r>
        <w:rPr>
          <w:spacing w:val="-52"/>
        </w:rPr>
        <w:t> </w:t>
      </w:r>
      <w:r>
        <w:rPr/>
        <w:t>states.</w:t>
      </w:r>
    </w:p>
    <w:p>
      <w:pPr>
        <w:pStyle w:val="BodyText"/>
        <w:spacing w:line="276" w:lineRule="auto" w:before="202"/>
        <w:ind w:left="105" w:right="116"/>
        <w:jc w:val="both"/>
      </w:pPr>
      <w:r>
        <w:rPr/>
        <w:t>This means presently for academic-achievement for most students, school choice is leading</w:t>
      </w:r>
      <w:r>
        <w:rPr>
          <w:spacing w:val="-6"/>
        </w:rPr>
        <w:t> </w:t>
      </w:r>
      <w:r>
        <w:rPr/>
        <w:t>to</w:t>
      </w:r>
      <w:r>
        <w:rPr>
          <w:spacing w:val="-5"/>
        </w:rPr>
        <w:t> </w:t>
      </w:r>
      <w:r>
        <w:rPr/>
        <w:t>sub-optimal</w:t>
      </w:r>
      <w:r>
        <w:rPr>
          <w:spacing w:val="-11"/>
        </w:rPr>
        <w:t> </w:t>
      </w:r>
      <w:r>
        <w:rPr/>
        <w:t>outcomes.</w:t>
      </w:r>
      <w:r>
        <w:rPr>
          <w:spacing w:val="-5"/>
        </w:rPr>
        <w:t> </w:t>
      </w:r>
      <w:r>
        <w:rPr/>
        <w:t>In</w:t>
      </w:r>
      <w:r>
        <w:rPr>
          <w:spacing w:val="-7"/>
        </w:rPr>
        <w:t> </w:t>
      </w:r>
      <w:r>
        <w:rPr/>
        <w:t>addition,</w:t>
      </w:r>
      <w:r>
        <w:rPr>
          <w:spacing w:val="-10"/>
        </w:rPr>
        <w:t> </w:t>
      </w:r>
      <w:r>
        <w:rPr/>
        <w:t>within</w:t>
      </w:r>
      <w:r>
        <w:rPr>
          <w:spacing w:val="-5"/>
        </w:rPr>
        <w:t> </w:t>
      </w:r>
      <w:r>
        <w:rPr/>
        <w:t>the</w:t>
      </w:r>
      <w:r>
        <w:rPr>
          <w:spacing w:val="-5"/>
        </w:rPr>
        <w:t> </w:t>
      </w:r>
      <w:r>
        <w:rPr/>
        <w:t>charter</w:t>
      </w:r>
      <w:r>
        <w:rPr>
          <w:spacing w:val="-6"/>
        </w:rPr>
        <w:t> </w:t>
      </w:r>
      <w:r>
        <w:rPr/>
        <w:t>sector,</w:t>
      </w:r>
      <w:r>
        <w:rPr>
          <w:spacing w:val="-6"/>
        </w:rPr>
        <w:t> </w:t>
      </w:r>
      <w:r>
        <w:rPr/>
        <w:t>the</w:t>
      </w:r>
      <w:r>
        <w:rPr>
          <w:spacing w:val="-7"/>
        </w:rPr>
        <w:t> </w:t>
      </w:r>
      <w:r>
        <w:rPr/>
        <w:t>most</w:t>
      </w:r>
      <w:r>
        <w:rPr>
          <w:spacing w:val="1"/>
        </w:rPr>
        <w:t> </w:t>
      </w:r>
      <w:r>
        <w:rPr/>
        <w:t>abysmal performance for demographically equivalent students is found with the online charters, a pattern which holds</w:t>
      </w:r>
      <w:r>
        <w:rPr>
          <w:spacing w:val="-31"/>
        </w:rPr>
        <w:t> </w:t>
      </w:r>
      <w:r>
        <w:rPr/>
        <w:t>nationwide.</w:t>
      </w:r>
    </w:p>
    <w:p>
      <w:pPr>
        <w:spacing w:line="276" w:lineRule="auto" w:before="191"/>
        <w:ind w:left="2265" w:right="114" w:hanging="2160"/>
        <w:jc w:val="both"/>
        <w:rPr>
          <w:b/>
          <w:sz w:val="22"/>
        </w:rPr>
      </w:pPr>
      <w:r>
        <w:rPr>
          <w:b/>
          <w:sz w:val="22"/>
        </w:rPr>
        <w:t>Recommendations: Improved financial oversight as outlined in this report and improved financial</w:t>
      </w:r>
      <w:r>
        <w:rPr>
          <w:b/>
          <w:spacing w:val="-11"/>
          <w:sz w:val="22"/>
        </w:rPr>
        <w:t> </w:t>
      </w:r>
      <w:r>
        <w:rPr>
          <w:b/>
          <w:sz w:val="22"/>
        </w:rPr>
        <w:t>transparency</w:t>
      </w:r>
      <w:r>
        <w:rPr>
          <w:b/>
          <w:spacing w:val="-11"/>
          <w:sz w:val="22"/>
        </w:rPr>
        <w:t> </w:t>
      </w:r>
      <w:r>
        <w:rPr>
          <w:b/>
          <w:sz w:val="22"/>
        </w:rPr>
        <w:t>for</w:t>
      </w:r>
      <w:r>
        <w:rPr>
          <w:b/>
          <w:spacing w:val="-9"/>
          <w:sz w:val="22"/>
        </w:rPr>
        <w:t> </w:t>
      </w:r>
      <w:r>
        <w:rPr>
          <w:b/>
          <w:sz w:val="22"/>
        </w:rPr>
        <w:t>the</w:t>
      </w:r>
      <w:r>
        <w:rPr>
          <w:b/>
          <w:spacing w:val="-10"/>
          <w:sz w:val="22"/>
        </w:rPr>
        <w:t> </w:t>
      </w:r>
      <w:r>
        <w:rPr>
          <w:b/>
          <w:sz w:val="22"/>
        </w:rPr>
        <w:t>public,</w:t>
      </w:r>
      <w:r>
        <w:rPr>
          <w:b/>
          <w:spacing w:val="-11"/>
          <w:sz w:val="22"/>
        </w:rPr>
        <w:t> </w:t>
      </w:r>
      <w:r>
        <w:rPr>
          <w:b/>
          <w:sz w:val="22"/>
        </w:rPr>
        <w:t>including</w:t>
      </w:r>
      <w:r>
        <w:rPr>
          <w:b/>
          <w:spacing w:val="-12"/>
          <w:sz w:val="22"/>
        </w:rPr>
        <w:t> </w:t>
      </w:r>
      <w:r>
        <w:rPr>
          <w:b/>
          <w:sz w:val="22"/>
        </w:rPr>
        <w:t>parents,</w:t>
      </w:r>
      <w:r>
        <w:rPr>
          <w:b/>
          <w:spacing w:val="-13"/>
          <w:sz w:val="22"/>
        </w:rPr>
        <w:t> </w:t>
      </w:r>
      <w:r>
        <w:rPr>
          <w:b/>
          <w:sz w:val="22"/>
        </w:rPr>
        <w:t>would</w:t>
      </w:r>
      <w:r>
        <w:rPr>
          <w:b/>
          <w:spacing w:val="-7"/>
          <w:sz w:val="22"/>
        </w:rPr>
        <w:t> </w:t>
      </w:r>
      <w:r>
        <w:rPr>
          <w:b/>
          <w:sz w:val="22"/>
        </w:rPr>
        <w:t>enable parents to make more informed choices regarding their child’s education and make charters more accountable to</w:t>
      </w:r>
      <w:r>
        <w:rPr>
          <w:b/>
          <w:spacing w:val="-11"/>
          <w:sz w:val="22"/>
        </w:rPr>
        <w:t> </w:t>
      </w:r>
      <w:r>
        <w:rPr>
          <w:b/>
          <w:sz w:val="22"/>
        </w:rPr>
        <w:t>taxpayers.</w:t>
      </w:r>
    </w:p>
    <w:p>
      <w:pPr>
        <w:spacing w:line="276" w:lineRule="auto" w:before="200"/>
        <w:ind w:left="2265" w:right="118" w:firstLine="0"/>
        <w:jc w:val="both"/>
        <w:rPr>
          <w:b/>
          <w:sz w:val="22"/>
        </w:rPr>
      </w:pPr>
      <w:r>
        <w:rPr>
          <w:b/>
          <w:sz w:val="22"/>
        </w:rPr>
        <w:t>In addition, all online charters should be reviewed immediately to evaluate the quality of their academic offerings and student achievement to determine whether their charter should continue.</w:t>
      </w:r>
    </w:p>
    <w:p>
      <w:pPr>
        <w:spacing w:after="0" w:line="276" w:lineRule="auto"/>
        <w:jc w:val="both"/>
        <w:rPr>
          <w:sz w:val="22"/>
        </w:rPr>
        <w:sectPr>
          <w:pgSz w:w="12240" w:h="15840"/>
          <w:pgMar w:header="760" w:footer="1002" w:top="2720" w:bottom="1200" w:left="1340" w:right="1320"/>
        </w:sectPr>
      </w:pPr>
    </w:p>
    <w:p>
      <w:pPr>
        <w:pStyle w:val="BodyText"/>
        <w:rPr>
          <w:b/>
          <w:sz w:val="20"/>
        </w:rPr>
      </w:pPr>
    </w:p>
    <w:p>
      <w:pPr>
        <w:pStyle w:val="BodyText"/>
        <w:spacing w:before="5"/>
        <w:rPr>
          <w:b/>
          <w:sz w:val="26"/>
        </w:rPr>
      </w:pPr>
    </w:p>
    <w:p>
      <w:pPr>
        <w:pStyle w:val="BodyText"/>
        <w:ind w:left="2622"/>
        <w:rPr>
          <w:sz w:val="20"/>
        </w:rPr>
      </w:pPr>
      <w:r>
        <w:rPr>
          <w:sz w:val="20"/>
        </w:rPr>
        <w:drawing>
          <wp:inline distT="0" distB="0" distL="0" distR="0">
            <wp:extent cx="2743200" cy="914400"/>
            <wp:effectExtent l="0" t="0" r="0" b="0"/>
            <wp:docPr id="9" name="image5.jpeg" descr=""/>
            <wp:cNvGraphicFramePr>
              <a:graphicFrameLocks noChangeAspect="1"/>
            </wp:cNvGraphicFramePr>
            <a:graphic>
              <a:graphicData uri="http://schemas.openxmlformats.org/drawingml/2006/picture">
                <pic:pic>
                  <pic:nvPicPr>
                    <pic:cNvPr id="10" name="image5.jpeg"/>
                    <pic:cNvPicPr/>
                  </pic:nvPicPr>
                  <pic:blipFill>
                    <a:blip r:embed="rId14" cstate="print"/>
                    <a:stretch>
                      <a:fillRect/>
                    </a:stretch>
                  </pic:blipFill>
                  <pic:spPr>
                    <a:xfrm>
                      <a:off x="0" y="0"/>
                      <a:ext cx="2743200" cy="914400"/>
                    </a:xfrm>
                    <a:prstGeom prst="rect">
                      <a:avLst/>
                    </a:prstGeom>
                  </pic:spPr>
                </pic:pic>
              </a:graphicData>
            </a:graphic>
          </wp:inline>
        </w:drawing>
      </w:r>
      <w:r>
        <w:rPr>
          <w:sz w:val="20"/>
        </w:rPr>
      </w:r>
    </w:p>
    <w:p>
      <w:pPr>
        <w:pStyle w:val="BodyText"/>
        <w:rPr>
          <w:b/>
          <w:sz w:val="20"/>
        </w:rPr>
      </w:pPr>
    </w:p>
    <w:p>
      <w:pPr>
        <w:pStyle w:val="BodyText"/>
        <w:rPr>
          <w:b/>
          <w:sz w:val="16"/>
        </w:rPr>
      </w:pPr>
    </w:p>
    <w:p>
      <w:pPr>
        <w:tabs>
          <w:tab w:pos="2265" w:val="left" w:leader="none"/>
        </w:tabs>
        <w:spacing w:line="278" w:lineRule="auto" w:before="94"/>
        <w:ind w:left="2265" w:right="113" w:hanging="2160"/>
        <w:jc w:val="both"/>
        <w:rPr>
          <w:b/>
          <w:sz w:val="22"/>
        </w:rPr>
      </w:pPr>
      <w:bookmarkStart w:name="_bookmark17" w:id="18"/>
      <w:bookmarkEnd w:id="18"/>
      <w:r>
        <w:rPr/>
      </w:r>
      <w:r>
        <w:rPr>
          <w:b/>
          <w:sz w:val="22"/>
        </w:rPr>
        <w:t>Finding:</w:t>
        <w:tab/>
        <w:t>Frequently    numbers    in    </w:t>
      </w:r>
      <w:r>
        <w:rPr>
          <w:b/>
          <w:spacing w:val="-3"/>
          <w:sz w:val="22"/>
        </w:rPr>
        <w:t>AFRs,     </w:t>
      </w:r>
      <w:r>
        <w:rPr>
          <w:b/>
          <w:sz w:val="22"/>
        </w:rPr>
        <w:t>Audits,    and    IRS</w:t>
      </w:r>
      <w:r>
        <w:rPr>
          <w:b/>
          <w:spacing w:val="28"/>
          <w:sz w:val="22"/>
        </w:rPr>
        <w:t> </w:t>
      </w:r>
      <w:r>
        <w:rPr>
          <w:b/>
          <w:sz w:val="22"/>
        </w:rPr>
        <w:t>filings  </w:t>
      </w:r>
      <w:r>
        <w:rPr>
          <w:b/>
          <w:spacing w:val="43"/>
          <w:sz w:val="22"/>
        </w:rPr>
        <w:t> </w:t>
      </w:r>
      <w:r>
        <w:rPr>
          <w:b/>
          <w:sz w:val="22"/>
        </w:rPr>
        <w:t>are</w:t>
      </w:r>
      <w:r>
        <w:rPr>
          <w:b/>
          <w:w w:val="100"/>
          <w:sz w:val="22"/>
        </w:rPr>
        <w:t> </w:t>
      </w:r>
      <w:r>
        <w:rPr>
          <w:b/>
          <w:sz w:val="22"/>
        </w:rPr>
        <w:t>inconsistent even though they cover the same period. Some audits are inadequately detailed and done by out-of-state firms that may</w:t>
      </w:r>
      <w:r>
        <w:rPr>
          <w:b/>
          <w:spacing w:val="-44"/>
          <w:sz w:val="22"/>
        </w:rPr>
        <w:t> </w:t>
      </w:r>
      <w:r>
        <w:rPr>
          <w:b/>
          <w:sz w:val="22"/>
        </w:rPr>
        <w:t>not be familiar with Arizona</w:t>
      </w:r>
      <w:r>
        <w:rPr>
          <w:b/>
          <w:spacing w:val="-18"/>
          <w:sz w:val="22"/>
        </w:rPr>
        <w:t> </w:t>
      </w:r>
      <w:r>
        <w:rPr>
          <w:b/>
          <w:sz w:val="22"/>
        </w:rPr>
        <w:t>law.</w:t>
      </w:r>
    </w:p>
    <w:p>
      <w:pPr>
        <w:pStyle w:val="BodyText"/>
        <w:spacing w:line="276" w:lineRule="auto" w:before="204"/>
        <w:ind w:left="105" w:right="114"/>
        <w:jc w:val="both"/>
      </w:pPr>
      <w:r>
        <w:rPr/>
        <w:t>Charter</w:t>
      </w:r>
      <w:r>
        <w:rPr>
          <w:spacing w:val="-5"/>
        </w:rPr>
        <w:t> </w:t>
      </w:r>
      <w:r>
        <w:rPr/>
        <w:t>schools</w:t>
      </w:r>
      <w:r>
        <w:rPr>
          <w:spacing w:val="-5"/>
        </w:rPr>
        <w:t> </w:t>
      </w:r>
      <w:r>
        <w:rPr/>
        <w:t>submit</w:t>
      </w:r>
      <w:r>
        <w:rPr>
          <w:spacing w:val="-7"/>
        </w:rPr>
        <w:t> </w:t>
      </w:r>
      <w:r>
        <w:rPr/>
        <w:t>AFRs</w:t>
      </w:r>
      <w:r>
        <w:rPr>
          <w:spacing w:val="-4"/>
        </w:rPr>
        <w:t> </w:t>
      </w:r>
      <w:r>
        <w:rPr/>
        <w:t>to</w:t>
      </w:r>
      <w:r>
        <w:rPr>
          <w:spacing w:val="-3"/>
        </w:rPr>
        <w:t> </w:t>
      </w:r>
      <w:r>
        <w:rPr/>
        <w:t>the</w:t>
      </w:r>
      <w:r>
        <w:rPr>
          <w:spacing w:val="-4"/>
        </w:rPr>
        <w:t> </w:t>
      </w:r>
      <w:r>
        <w:rPr/>
        <w:t>Arizona</w:t>
      </w:r>
      <w:r>
        <w:rPr>
          <w:spacing w:val="-4"/>
        </w:rPr>
        <w:t> </w:t>
      </w:r>
      <w:r>
        <w:rPr/>
        <w:t>Dept.</w:t>
      </w:r>
      <w:r>
        <w:rPr>
          <w:spacing w:val="-4"/>
        </w:rPr>
        <w:t> </w:t>
      </w:r>
      <w:r>
        <w:rPr/>
        <w:t>of</w:t>
      </w:r>
      <w:r>
        <w:rPr>
          <w:spacing w:val="-4"/>
        </w:rPr>
        <w:t> </w:t>
      </w:r>
      <w:r>
        <w:rPr/>
        <w:t>Education,</w:t>
      </w:r>
      <w:r>
        <w:rPr>
          <w:spacing w:val="-4"/>
        </w:rPr>
        <w:t> </w:t>
      </w:r>
      <w:r>
        <w:rPr/>
        <w:t>audits</w:t>
      </w:r>
      <w:r>
        <w:rPr>
          <w:spacing w:val="-4"/>
        </w:rPr>
        <w:t> </w:t>
      </w:r>
      <w:r>
        <w:rPr/>
        <w:t>to</w:t>
      </w:r>
      <w:r>
        <w:rPr>
          <w:spacing w:val="-3"/>
        </w:rPr>
        <w:t> </w:t>
      </w:r>
      <w:r>
        <w:rPr/>
        <w:t>the</w:t>
      </w:r>
      <w:r>
        <w:rPr>
          <w:spacing w:val="-4"/>
        </w:rPr>
        <w:t> </w:t>
      </w:r>
      <w:r>
        <w:rPr/>
        <w:t>ASBCS</w:t>
      </w:r>
      <w:r>
        <w:rPr>
          <w:spacing w:val="-7"/>
        </w:rPr>
        <w:t> </w:t>
      </w:r>
      <w:r>
        <w:rPr/>
        <w:t>for the state of Arizona, and if a nonprofit, as most are, a Form 990 to the IRS. Currently while financial reports and audits are submitted annually, they are not scrutinized for consistency</w:t>
      </w:r>
      <w:r>
        <w:rPr>
          <w:spacing w:val="-16"/>
        </w:rPr>
        <w:t> </w:t>
      </w:r>
      <w:r>
        <w:rPr/>
        <w:t>even</w:t>
      </w:r>
      <w:r>
        <w:rPr>
          <w:spacing w:val="-13"/>
        </w:rPr>
        <w:t> </w:t>
      </w:r>
      <w:r>
        <w:rPr/>
        <w:t>though</w:t>
      </w:r>
      <w:r>
        <w:rPr>
          <w:spacing w:val="-13"/>
        </w:rPr>
        <w:t> </w:t>
      </w:r>
      <w:r>
        <w:rPr/>
        <w:t>they</w:t>
      </w:r>
      <w:r>
        <w:rPr>
          <w:spacing w:val="-16"/>
        </w:rPr>
        <w:t> </w:t>
      </w:r>
      <w:r>
        <w:rPr/>
        <w:t>cover</w:t>
      </w:r>
      <w:r>
        <w:rPr>
          <w:spacing w:val="-14"/>
        </w:rPr>
        <w:t> </w:t>
      </w:r>
      <w:r>
        <w:rPr/>
        <w:t>the</w:t>
      </w:r>
      <w:r>
        <w:rPr>
          <w:spacing w:val="-15"/>
        </w:rPr>
        <w:t> </w:t>
      </w:r>
      <w:r>
        <w:rPr/>
        <w:t>same</w:t>
      </w:r>
      <w:r>
        <w:rPr>
          <w:spacing w:val="-15"/>
        </w:rPr>
        <w:t> </w:t>
      </w:r>
      <w:r>
        <w:rPr/>
        <w:t>reporting</w:t>
      </w:r>
      <w:r>
        <w:rPr>
          <w:spacing w:val="-15"/>
        </w:rPr>
        <w:t> </w:t>
      </w:r>
      <w:r>
        <w:rPr/>
        <w:t>period.</w:t>
      </w:r>
      <w:r>
        <w:rPr>
          <w:spacing w:val="-15"/>
        </w:rPr>
        <w:t> </w:t>
      </w:r>
      <w:r>
        <w:rPr/>
        <w:t>Audits</w:t>
      </w:r>
      <w:r>
        <w:rPr>
          <w:spacing w:val="-14"/>
        </w:rPr>
        <w:t> </w:t>
      </w:r>
      <w:r>
        <w:rPr/>
        <w:t>don’t</w:t>
      </w:r>
      <w:r>
        <w:rPr>
          <w:spacing w:val="-16"/>
        </w:rPr>
        <w:t> </w:t>
      </w:r>
      <w:r>
        <w:rPr/>
        <w:t>always</w:t>
      </w:r>
      <w:r>
        <w:rPr>
          <w:spacing w:val="-14"/>
        </w:rPr>
        <w:t> </w:t>
      </w:r>
      <w:r>
        <w:rPr/>
        <w:t>follow a standardized format. Some auditors are in state and do good detailed work, and other audits</w:t>
      </w:r>
      <w:r>
        <w:rPr>
          <w:spacing w:val="-12"/>
        </w:rPr>
        <w:t> </w:t>
      </w:r>
      <w:r>
        <w:rPr/>
        <w:t>are</w:t>
      </w:r>
      <w:r>
        <w:rPr>
          <w:spacing w:val="-9"/>
        </w:rPr>
        <w:t> </w:t>
      </w:r>
      <w:r>
        <w:rPr/>
        <w:t>completed</w:t>
      </w:r>
      <w:r>
        <w:rPr>
          <w:spacing w:val="-8"/>
        </w:rPr>
        <w:t> </w:t>
      </w:r>
      <w:r>
        <w:rPr/>
        <w:t>by</w:t>
      </w:r>
      <w:r>
        <w:rPr>
          <w:spacing w:val="-12"/>
        </w:rPr>
        <w:t> </w:t>
      </w:r>
      <w:r>
        <w:rPr/>
        <w:t>out</w:t>
      </w:r>
      <w:r>
        <w:rPr>
          <w:spacing w:val="-9"/>
        </w:rPr>
        <w:t> </w:t>
      </w:r>
      <w:r>
        <w:rPr/>
        <w:t>of</w:t>
      </w:r>
      <w:r>
        <w:rPr>
          <w:spacing w:val="-7"/>
        </w:rPr>
        <w:t> </w:t>
      </w:r>
      <w:r>
        <w:rPr/>
        <w:t>state</w:t>
      </w:r>
      <w:r>
        <w:rPr>
          <w:spacing w:val="-10"/>
        </w:rPr>
        <w:t> </w:t>
      </w:r>
      <w:r>
        <w:rPr/>
        <w:t>entities</w:t>
      </w:r>
      <w:r>
        <w:rPr>
          <w:spacing w:val="-9"/>
        </w:rPr>
        <w:t> </w:t>
      </w:r>
      <w:r>
        <w:rPr/>
        <w:t>and</w:t>
      </w:r>
      <w:r>
        <w:rPr>
          <w:spacing w:val="-11"/>
        </w:rPr>
        <w:t> </w:t>
      </w:r>
      <w:r>
        <w:rPr/>
        <w:t>may</w:t>
      </w:r>
      <w:r>
        <w:rPr>
          <w:spacing w:val="-12"/>
        </w:rPr>
        <w:t> </w:t>
      </w:r>
      <w:r>
        <w:rPr/>
        <w:t>lack</w:t>
      </w:r>
      <w:r>
        <w:rPr>
          <w:spacing w:val="-9"/>
        </w:rPr>
        <w:t> </w:t>
      </w:r>
      <w:r>
        <w:rPr/>
        <w:t>detail.</w:t>
      </w:r>
      <w:r>
        <w:rPr>
          <w:spacing w:val="-11"/>
        </w:rPr>
        <w:t> </w:t>
      </w:r>
      <w:r>
        <w:rPr/>
        <w:t>The</w:t>
      </w:r>
      <w:r>
        <w:rPr>
          <w:spacing w:val="-11"/>
        </w:rPr>
        <w:t> </w:t>
      </w:r>
      <w:r>
        <w:rPr/>
        <w:t>level</w:t>
      </w:r>
      <w:r>
        <w:rPr>
          <w:spacing w:val="-10"/>
        </w:rPr>
        <w:t> </w:t>
      </w:r>
      <w:r>
        <w:rPr/>
        <w:t>of</w:t>
      </w:r>
      <w:r>
        <w:rPr>
          <w:spacing w:val="-9"/>
        </w:rPr>
        <w:t> </w:t>
      </w:r>
      <w:r>
        <w:rPr/>
        <w:t>detail</w:t>
      </w:r>
      <w:r>
        <w:rPr>
          <w:spacing w:val="-10"/>
        </w:rPr>
        <w:t> </w:t>
      </w:r>
      <w:r>
        <w:rPr/>
        <w:t>varies by</w:t>
      </w:r>
      <w:r>
        <w:rPr>
          <w:spacing w:val="-18"/>
        </w:rPr>
        <w:t> </w:t>
      </w:r>
      <w:r>
        <w:rPr/>
        <w:t>auditor.</w:t>
      </w:r>
    </w:p>
    <w:p>
      <w:pPr>
        <w:pStyle w:val="BodyText"/>
        <w:spacing w:line="276" w:lineRule="auto" w:before="199"/>
        <w:ind w:left="105" w:right="121"/>
        <w:jc w:val="both"/>
      </w:pPr>
      <w:r>
        <w:rPr/>
        <w:t>Identifying what’s going on at particular charter sites can be challenging due to consolidated</w:t>
      </w:r>
      <w:r>
        <w:rPr>
          <w:spacing w:val="-11"/>
        </w:rPr>
        <w:t> </w:t>
      </w:r>
      <w:r>
        <w:rPr/>
        <w:t>audits</w:t>
      </w:r>
      <w:r>
        <w:rPr>
          <w:spacing w:val="-12"/>
        </w:rPr>
        <w:t> </w:t>
      </w:r>
      <w:r>
        <w:rPr/>
        <w:t>or,</w:t>
      </w:r>
      <w:r>
        <w:rPr>
          <w:spacing w:val="-12"/>
        </w:rPr>
        <w:t> </w:t>
      </w:r>
      <w:r>
        <w:rPr/>
        <w:t>if</w:t>
      </w:r>
      <w:r>
        <w:rPr>
          <w:spacing w:val="-10"/>
        </w:rPr>
        <w:t> </w:t>
      </w:r>
      <w:r>
        <w:rPr/>
        <w:t>the</w:t>
      </w:r>
      <w:r>
        <w:rPr>
          <w:spacing w:val="-11"/>
        </w:rPr>
        <w:t> </w:t>
      </w:r>
      <w:r>
        <w:rPr/>
        <w:t>charter</w:t>
      </w:r>
      <w:r>
        <w:rPr>
          <w:spacing w:val="-10"/>
        </w:rPr>
        <w:t> </w:t>
      </w:r>
      <w:r>
        <w:rPr/>
        <w:t>is</w:t>
      </w:r>
      <w:r>
        <w:rPr>
          <w:spacing w:val="-12"/>
        </w:rPr>
        <w:t> </w:t>
      </w:r>
      <w:r>
        <w:rPr/>
        <w:t>operating</w:t>
      </w:r>
      <w:r>
        <w:rPr>
          <w:spacing w:val="-11"/>
        </w:rPr>
        <w:t> </w:t>
      </w:r>
      <w:r>
        <w:rPr/>
        <w:t>in</w:t>
      </w:r>
      <w:r>
        <w:rPr>
          <w:spacing w:val="-10"/>
        </w:rPr>
        <w:t> </w:t>
      </w:r>
      <w:r>
        <w:rPr/>
        <w:t>the</w:t>
      </w:r>
      <w:r>
        <w:rPr>
          <w:spacing w:val="-9"/>
        </w:rPr>
        <w:t> </w:t>
      </w:r>
      <w:r>
        <w:rPr/>
        <w:t>context</w:t>
      </w:r>
      <w:r>
        <w:rPr>
          <w:spacing w:val="-10"/>
        </w:rPr>
        <w:t> </w:t>
      </w:r>
      <w:r>
        <w:rPr/>
        <w:t>of</w:t>
      </w:r>
      <w:r>
        <w:rPr>
          <w:spacing w:val="-10"/>
        </w:rPr>
        <w:t> </w:t>
      </w:r>
      <w:r>
        <w:rPr/>
        <w:t>a</w:t>
      </w:r>
      <w:r>
        <w:rPr>
          <w:spacing w:val="-11"/>
        </w:rPr>
        <w:t> </w:t>
      </w:r>
      <w:r>
        <w:rPr/>
        <w:t>much</w:t>
      </w:r>
      <w:r>
        <w:rPr>
          <w:spacing w:val="-9"/>
        </w:rPr>
        <w:t> </w:t>
      </w:r>
      <w:r>
        <w:rPr/>
        <w:t>larger</w:t>
      </w:r>
      <w:r>
        <w:rPr>
          <w:spacing w:val="-10"/>
        </w:rPr>
        <w:t> </w:t>
      </w:r>
      <w:r>
        <w:rPr/>
        <w:t>nonprofit, the consolidated audit inhibits the ability to examine the charter performance more carefully.</w:t>
      </w:r>
    </w:p>
    <w:p>
      <w:pPr>
        <w:pStyle w:val="BodyText"/>
        <w:spacing w:line="276" w:lineRule="auto" w:before="199"/>
        <w:ind w:left="105" w:right="120"/>
        <w:jc w:val="both"/>
      </w:pPr>
      <w:r>
        <w:rPr/>
        <w:t>As</w:t>
      </w:r>
      <w:r>
        <w:rPr>
          <w:spacing w:val="-17"/>
        </w:rPr>
        <w:t> </w:t>
      </w:r>
      <w:r>
        <w:rPr/>
        <w:t>these</w:t>
      </w:r>
      <w:r>
        <w:rPr>
          <w:spacing w:val="-18"/>
        </w:rPr>
        <w:t> </w:t>
      </w:r>
      <w:r>
        <w:rPr/>
        <w:t>funds</w:t>
      </w:r>
      <w:r>
        <w:rPr>
          <w:spacing w:val="-19"/>
        </w:rPr>
        <w:t> </w:t>
      </w:r>
      <w:r>
        <w:rPr/>
        <w:t>are</w:t>
      </w:r>
      <w:r>
        <w:rPr>
          <w:spacing w:val="-19"/>
        </w:rPr>
        <w:t> </w:t>
      </w:r>
      <w:r>
        <w:rPr/>
        <w:t>from</w:t>
      </w:r>
      <w:r>
        <w:rPr>
          <w:spacing w:val="-16"/>
        </w:rPr>
        <w:t> </w:t>
      </w:r>
      <w:r>
        <w:rPr/>
        <w:t>state</w:t>
      </w:r>
      <w:r>
        <w:rPr>
          <w:spacing w:val="-16"/>
        </w:rPr>
        <w:t> </w:t>
      </w:r>
      <w:r>
        <w:rPr/>
        <w:t>taxpayer</w:t>
      </w:r>
      <w:r>
        <w:rPr>
          <w:spacing w:val="-17"/>
        </w:rPr>
        <w:t> </w:t>
      </w:r>
      <w:r>
        <w:rPr/>
        <w:t>dollars,</w:t>
      </w:r>
      <w:r>
        <w:rPr>
          <w:spacing w:val="-17"/>
        </w:rPr>
        <w:t> </w:t>
      </w:r>
      <w:r>
        <w:rPr/>
        <w:t>the</w:t>
      </w:r>
      <w:r>
        <w:rPr>
          <w:spacing w:val="-18"/>
        </w:rPr>
        <w:t> </w:t>
      </w:r>
      <w:r>
        <w:rPr/>
        <w:t>public</w:t>
      </w:r>
      <w:r>
        <w:rPr>
          <w:spacing w:val="-17"/>
        </w:rPr>
        <w:t> </w:t>
      </w:r>
      <w:r>
        <w:rPr/>
        <w:t>accounting</w:t>
      </w:r>
      <w:r>
        <w:rPr>
          <w:spacing w:val="-18"/>
        </w:rPr>
        <w:t> </w:t>
      </w:r>
      <w:r>
        <w:rPr/>
        <w:t>should</w:t>
      </w:r>
      <w:r>
        <w:rPr>
          <w:spacing w:val="-17"/>
        </w:rPr>
        <w:t> </w:t>
      </w:r>
      <w:r>
        <w:rPr/>
        <w:t>be</w:t>
      </w:r>
      <w:r>
        <w:rPr>
          <w:spacing w:val="-17"/>
        </w:rPr>
        <w:t> </w:t>
      </w:r>
      <w:r>
        <w:rPr/>
        <w:t>consistent across all reporting forms—and when it’s not, clear steps advanced to remedy deficiencies. The excuse that no one checks the accuracy of AFRs to the state and compares that data to the audits submitted to the ASBCS is an indictment of</w:t>
      </w:r>
      <w:r>
        <w:rPr>
          <w:spacing w:val="-39"/>
        </w:rPr>
        <w:t> </w:t>
      </w:r>
      <w:r>
        <w:rPr/>
        <w:t>oversight.</w:t>
      </w:r>
    </w:p>
    <w:p>
      <w:pPr>
        <w:pStyle w:val="BodyText"/>
        <w:spacing w:line="276" w:lineRule="auto" w:before="200"/>
        <w:ind w:left="105" w:right="124"/>
        <w:jc w:val="both"/>
      </w:pPr>
      <w:r>
        <w:rPr/>
        <w:t>As will be detailed in subsequent reports and listed in this report’s Appendix “A”, large numbers of charter operations are running deficits and many have negative net assets. The state needs to be ahead of potential financial problems, so they can appropriately intercede for the best interest of students and taxpayers.</w:t>
      </w:r>
    </w:p>
    <w:p>
      <w:pPr>
        <w:pStyle w:val="Heading2"/>
        <w:spacing w:line="256" w:lineRule="auto" w:before="202"/>
        <w:ind w:left="2265" w:right="213" w:hanging="2160"/>
      </w:pPr>
      <w:r>
        <w:rPr>
          <w:sz w:val="22"/>
        </w:rPr>
        <w:t>Recommendations: 1. </w:t>
      </w:r>
      <w:r>
        <w:rPr/>
        <w:t>Audits need to follow a standard format that requires detail and supporting information on assets and liabilities, revenues and expenditures, and related-party expenses.</w:t>
      </w:r>
    </w:p>
    <w:p>
      <w:pPr>
        <w:pStyle w:val="ListParagraph"/>
        <w:numPr>
          <w:ilvl w:val="1"/>
          <w:numId w:val="5"/>
        </w:numPr>
        <w:tabs>
          <w:tab w:pos="2986" w:val="left" w:leader="none"/>
        </w:tabs>
        <w:spacing w:line="259" w:lineRule="auto" w:before="168" w:after="0"/>
        <w:ind w:left="2985" w:right="181" w:hanging="360"/>
        <w:jc w:val="left"/>
        <w:rPr>
          <w:b/>
          <w:sz w:val="24"/>
        </w:rPr>
      </w:pPr>
      <w:r>
        <w:rPr>
          <w:b/>
          <w:sz w:val="24"/>
        </w:rPr>
        <w:t>Audits need to be done by auditors with offices located in Arizona with a demonstrated expertise in Arizona</w:t>
      </w:r>
      <w:r>
        <w:rPr>
          <w:b/>
          <w:spacing w:val="-29"/>
          <w:sz w:val="24"/>
        </w:rPr>
        <w:t> </w:t>
      </w:r>
      <w:r>
        <w:rPr>
          <w:b/>
          <w:sz w:val="24"/>
        </w:rPr>
        <w:t>law.</w:t>
      </w:r>
    </w:p>
    <w:p>
      <w:pPr>
        <w:pStyle w:val="ListParagraph"/>
        <w:numPr>
          <w:ilvl w:val="1"/>
          <w:numId w:val="5"/>
        </w:numPr>
        <w:tabs>
          <w:tab w:pos="2986" w:val="left" w:leader="none"/>
          <w:tab w:pos="4171" w:val="left" w:leader="none"/>
          <w:tab w:pos="5049" w:val="left" w:leader="none"/>
          <w:tab w:pos="5782" w:val="left" w:leader="none"/>
          <w:tab w:pos="6929" w:val="left" w:leader="none"/>
          <w:tab w:pos="7699" w:val="left" w:leader="none"/>
          <w:tab w:pos="8297" w:val="left" w:leader="none"/>
        </w:tabs>
        <w:spacing w:line="259" w:lineRule="auto" w:before="0" w:after="0"/>
        <w:ind w:left="2985" w:right="279" w:hanging="360"/>
        <w:jc w:val="left"/>
        <w:rPr>
          <w:b/>
          <w:sz w:val="24"/>
        </w:rPr>
      </w:pPr>
      <w:r>
        <w:rPr>
          <w:b/>
          <w:sz w:val="24"/>
        </w:rPr>
        <w:t>The ASBCS needs to provide a list of acceptable auditors</w:t>
        <w:tab/>
        <w:t>using</w:t>
        <w:tab/>
        <w:t>data</w:t>
        <w:tab/>
        <w:t>gleaned</w:t>
        <w:tab/>
        <w:t>from</w:t>
        <w:tab/>
        <w:t>the</w:t>
        <w:tab/>
        <w:t>audits</w:t>
      </w:r>
      <w:r>
        <w:rPr>
          <w:b/>
          <w:spacing w:val="-1"/>
          <w:sz w:val="24"/>
        </w:rPr>
        <w:t> </w:t>
      </w:r>
      <w:r>
        <w:rPr>
          <w:b/>
          <w:sz w:val="24"/>
        </w:rPr>
        <w:t>to</w:t>
      </w:r>
    </w:p>
    <w:p>
      <w:pPr>
        <w:spacing w:after="0" w:line="259" w:lineRule="auto"/>
        <w:jc w:val="left"/>
        <w:rPr>
          <w:sz w:val="24"/>
        </w:rPr>
        <w:sectPr>
          <w:headerReference w:type="default" r:id="rId13"/>
          <w:pgSz w:w="12240" w:h="15840"/>
          <w:pgMar w:header="740" w:footer="1002" w:top="940" w:bottom="1200" w:left="1340" w:right="1320"/>
        </w:sectPr>
      </w:pPr>
    </w:p>
    <w:p>
      <w:pPr>
        <w:pStyle w:val="BodyText"/>
        <w:rPr>
          <w:b/>
          <w:sz w:val="20"/>
        </w:rPr>
      </w:pPr>
    </w:p>
    <w:p>
      <w:pPr>
        <w:pStyle w:val="BodyText"/>
        <w:spacing w:before="7"/>
        <w:rPr>
          <w:b/>
          <w:sz w:val="21"/>
        </w:rPr>
      </w:pPr>
    </w:p>
    <w:p>
      <w:pPr>
        <w:tabs>
          <w:tab w:pos="4919" w:val="left" w:leader="none"/>
          <w:tab w:pos="6110" w:val="left" w:leader="none"/>
          <w:tab w:pos="6717" w:val="left" w:leader="none"/>
          <w:tab w:pos="7987" w:val="left" w:leader="none"/>
        </w:tabs>
        <w:spacing w:line="261" w:lineRule="auto" w:before="0"/>
        <w:ind w:left="2601" w:right="122" w:firstLine="0"/>
        <w:jc w:val="left"/>
        <w:rPr>
          <w:b/>
          <w:sz w:val="24"/>
        </w:rPr>
      </w:pPr>
      <w:r>
        <w:rPr>
          <w:b/>
          <w:sz w:val="24"/>
        </w:rPr>
        <w:t>Determine</w:t>
      </w:r>
      <w:r>
        <w:rPr>
          <w:b/>
          <w:spacing w:val="-3"/>
          <w:sz w:val="24"/>
        </w:rPr>
        <w:t> </w:t>
      </w:r>
      <w:r>
        <w:rPr>
          <w:b/>
          <w:sz w:val="24"/>
        </w:rPr>
        <w:t>which</w:t>
        <w:tab/>
        <w:t>auditors</w:t>
        <w:tab/>
        <w:t>are</w:t>
        <w:tab/>
        <w:t>currently</w:t>
        <w:tab/>
      </w:r>
      <w:r>
        <w:rPr>
          <w:b/>
          <w:spacing w:val="-1"/>
          <w:sz w:val="24"/>
        </w:rPr>
        <w:t>providing </w:t>
      </w:r>
      <w:r>
        <w:rPr>
          <w:b/>
          <w:sz w:val="24"/>
        </w:rPr>
        <w:t>acceptable levels of</w:t>
      </w:r>
      <w:r>
        <w:rPr>
          <w:b/>
          <w:spacing w:val="-25"/>
          <w:sz w:val="24"/>
        </w:rPr>
        <w:t> </w:t>
      </w:r>
      <w:r>
        <w:rPr>
          <w:b/>
          <w:sz w:val="24"/>
        </w:rPr>
        <w:t>information.</w:t>
      </w:r>
    </w:p>
    <w:p>
      <w:pPr>
        <w:pStyle w:val="ListParagraph"/>
        <w:numPr>
          <w:ilvl w:val="1"/>
          <w:numId w:val="5"/>
        </w:numPr>
        <w:tabs>
          <w:tab w:pos="2601" w:val="left" w:leader="none"/>
        </w:tabs>
        <w:spacing w:line="259" w:lineRule="auto" w:before="0" w:after="0"/>
        <w:ind w:left="2601" w:right="111" w:hanging="361"/>
        <w:jc w:val="both"/>
        <w:rPr>
          <w:b/>
          <w:sz w:val="24"/>
        </w:rPr>
      </w:pPr>
      <w:r>
        <w:rPr>
          <w:b/>
          <w:sz w:val="24"/>
        </w:rPr>
        <w:t>Audits need to be done for each charter entity or for the charter separate from any larger entity it might be part of THEN</w:t>
      </w:r>
      <w:r>
        <w:rPr>
          <w:b/>
          <w:spacing w:val="-17"/>
          <w:sz w:val="24"/>
        </w:rPr>
        <w:t> </w:t>
      </w:r>
      <w:r>
        <w:rPr>
          <w:b/>
          <w:sz w:val="24"/>
        </w:rPr>
        <w:t>a</w:t>
      </w:r>
      <w:r>
        <w:rPr>
          <w:b/>
          <w:spacing w:val="-16"/>
          <w:sz w:val="24"/>
        </w:rPr>
        <w:t> </w:t>
      </w:r>
      <w:r>
        <w:rPr>
          <w:b/>
          <w:sz w:val="24"/>
        </w:rPr>
        <w:t>Consolidated</w:t>
      </w:r>
      <w:r>
        <w:rPr>
          <w:b/>
          <w:spacing w:val="-16"/>
          <w:sz w:val="24"/>
        </w:rPr>
        <w:t> </w:t>
      </w:r>
      <w:r>
        <w:rPr>
          <w:b/>
          <w:sz w:val="24"/>
        </w:rPr>
        <w:t>Audit</w:t>
      </w:r>
      <w:r>
        <w:rPr>
          <w:b/>
          <w:spacing w:val="-17"/>
          <w:sz w:val="24"/>
        </w:rPr>
        <w:t> </w:t>
      </w:r>
      <w:r>
        <w:rPr>
          <w:b/>
          <w:sz w:val="24"/>
        </w:rPr>
        <w:t>can</w:t>
      </w:r>
      <w:r>
        <w:rPr>
          <w:b/>
          <w:spacing w:val="-17"/>
          <w:sz w:val="24"/>
        </w:rPr>
        <w:t> </w:t>
      </w:r>
      <w:r>
        <w:rPr>
          <w:b/>
          <w:sz w:val="24"/>
        </w:rPr>
        <w:t>be</w:t>
      </w:r>
      <w:r>
        <w:rPr>
          <w:b/>
          <w:spacing w:val="-16"/>
          <w:sz w:val="24"/>
        </w:rPr>
        <w:t> </w:t>
      </w:r>
      <w:r>
        <w:rPr>
          <w:b/>
          <w:sz w:val="24"/>
        </w:rPr>
        <w:t>prepared</w:t>
      </w:r>
      <w:r>
        <w:rPr>
          <w:b/>
          <w:spacing w:val="-17"/>
          <w:sz w:val="24"/>
        </w:rPr>
        <w:t> </w:t>
      </w:r>
      <w:r>
        <w:rPr>
          <w:b/>
          <w:sz w:val="24"/>
        </w:rPr>
        <w:t>collating</w:t>
      </w:r>
      <w:r>
        <w:rPr>
          <w:b/>
          <w:spacing w:val="-17"/>
          <w:sz w:val="24"/>
        </w:rPr>
        <w:t> </w:t>
      </w:r>
      <w:r>
        <w:rPr>
          <w:b/>
          <w:sz w:val="24"/>
        </w:rPr>
        <w:t>that data.</w:t>
      </w:r>
    </w:p>
    <w:p>
      <w:pPr>
        <w:spacing w:line="259" w:lineRule="auto" w:before="166"/>
        <w:ind w:left="1880" w:right="112" w:firstLine="0"/>
        <w:jc w:val="both"/>
        <w:rPr>
          <w:b/>
          <w:sz w:val="24"/>
        </w:rPr>
      </w:pPr>
      <w:r>
        <w:rPr>
          <w:b/>
          <w:sz w:val="24"/>
        </w:rPr>
        <w:t>2. Audit reports need to be numerically identical to what is provided in Federal 990s and AFRs. Any inconsistencies</w:t>
      </w:r>
      <w:r>
        <w:rPr>
          <w:b/>
          <w:spacing w:val="-32"/>
          <w:sz w:val="24"/>
        </w:rPr>
        <w:t> </w:t>
      </w:r>
      <w:r>
        <w:rPr>
          <w:b/>
          <w:sz w:val="24"/>
        </w:rPr>
        <w:t>would need to be explained in the audit with specific plans on how to remedy the deficiency in the</w:t>
      </w:r>
      <w:r>
        <w:rPr>
          <w:b/>
          <w:spacing w:val="-28"/>
          <w:sz w:val="24"/>
        </w:rPr>
        <w:t> </w:t>
      </w:r>
      <w:r>
        <w:rPr>
          <w:b/>
          <w:sz w:val="24"/>
        </w:rPr>
        <w:t>future.</w:t>
      </w:r>
    </w:p>
    <w:p>
      <w:pPr>
        <w:spacing w:after="0" w:line="259" w:lineRule="auto"/>
        <w:jc w:val="both"/>
        <w:rPr>
          <w:sz w:val="24"/>
        </w:rPr>
        <w:sectPr>
          <w:pgSz w:w="12240" w:h="15840"/>
          <w:pgMar w:header="740" w:footer="1002" w:top="940" w:bottom="1200" w:left="1720" w:right="1320"/>
        </w:sectPr>
      </w:pPr>
    </w:p>
    <w:p>
      <w:pPr>
        <w:pStyle w:val="BodyText"/>
        <w:rPr>
          <w:b/>
          <w:sz w:val="20"/>
        </w:rPr>
      </w:pPr>
    </w:p>
    <w:p>
      <w:pPr>
        <w:pStyle w:val="BodyText"/>
        <w:spacing w:before="5"/>
        <w:rPr>
          <w:b/>
          <w:sz w:val="21"/>
        </w:rPr>
      </w:pPr>
    </w:p>
    <w:p>
      <w:pPr>
        <w:pStyle w:val="BodyText"/>
        <w:spacing w:after="57"/>
        <w:ind w:left="220"/>
      </w:pPr>
      <w:bookmarkStart w:name="_bookmark18" w:id="19"/>
      <w:bookmarkEnd w:id="19"/>
      <w:r>
        <w:rPr/>
      </w:r>
      <w:r>
        <w:rPr>
          <w:color w:val="4F81BC"/>
        </w:rPr>
        <w:t>Summary of Findings and Recommendations</w:t>
      </w:r>
    </w:p>
    <w:tbl>
      <w:tblPr>
        <w:tblW w:w="0" w:type="auto"/>
        <w:jc w:val="left"/>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00"/>
        <w:gridCol w:w="4650"/>
      </w:tblGrid>
      <w:tr>
        <w:trPr>
          <w:trHeight w:val="500" w:hRule="atLeast"/>
        </w:trPr>
        <w:tc>
          <w:tcPr>
            <w:tcW w:w="4700" w:type="dxa"/>
            <w:tcBorders>
              <w:top w:val="nil"/>
              <w:left w:val="nil"/>
              <w:bottom w:val="nil"/>
              <w:right w:val="nil"/>
            </w:tcBorders>
            <w:shd w:val="clear" w:color="auto" w:fill="000000"/>
          </w:tcPr>
          <w:p>
            <w:pPr>
              <w:pStyle w:val="TableParagraph"/>
              <w:spacing w:line="272" w:lineRule="exact"/>
              <w:ind w:left="1896" w:right="1896"/>
              <w:rPr>
                <w:b/>
                <w:sz w:val="24"/>
              </w:rPr>
            </w:pPr>
            <w:r>
              <w:rPr>
                <w:b/>
                <w:color w:val="FFFFFF"/>
                <w:sz w:val="24"/>
              </w:rPr>
              <w:t>Finding</w:t>
            </w:r>
          </w:p>
        </w:tc>
        <w:tc>
          <w:tcPr>
            <w:tcW w:w="4650" w:type="dxa"/>
            <w:tcBorders>
              <w:top w:val="nil"/>
              <w:left w:val="nil"/>
              <w:bottom w:val="nil"/>
              <w:right w:val="nil"/>
            </w:tcBorders>
            <w:shd w:val="clear" w:color="auto" w:fill="000000"/>
          </w:tcPr>
          <w:p>
            <w:pPr>
              <w:pStyle w:val="TableParagraph"/>
              <w:spacing w:line="272" w:lineRule="exact"/>
              <w:ind w:left="1317"/>
              <w:jc w:val="left"/>
              <w:rPr>
                <w:b/>
                <w:sz w:val="24"/>
              </w:rPr>
            </w:pPr>
            <w:r>
              <w:rPr>
                <w:b/>
                <w:color w:val="FFFFFF"/>
                <w:sz w:val="24"/>
              </w:rPr>
              <w:t>Recommendation</w:t>
            </w:r>
          </w:p>
        </w:tc>
      </w:tr>
      <w:tr>
        <w:trPr>
          <w:trHeight w:val="5980" w:hRule="atLeast"/>
        </w:trPr>
        <w:tc>
          <w:tcPr>
            <w:tcW w:w="4700" w:type="dxa"/>
          </w:tcPr>
          <w:p>
            <w:pPr>
              <w:pStyle w:val="TableParagraph"/>
              <w:ind w:left="615"/>
              <w:jc w:val="left"/>
              <w:rPr>
                <w:sz w:val="20"/>
              </w:rPr>
            </w:pPr>
            <w:r>
              <w:rPr>
                <w:sz w:val="20"/>
              </w:rPr>
              <w:drawing>
                <wp:inline distT="0" distB="0" distL="0" distR="0">
                  <wp:extent cx="2195068" cy="731520"/>
                  <wp:effectExtent l="0" t="0" r="0" b="0"/>
                  <wp:docPr id="11" name="image6.jpeg" descr=""/>
                  <wp:cNvGraphicFramePr>
                    <a:graphicFrameLocks noChangeAspect="1"/>
                  </wp:cNvGraphicFramePr>
                  <a:graphic>
                    <a:graphicData uri="http://schemas.openxmlformats.org/drawingml/2006/picture">
                      <pic:pic>
                        <pic:nvPicPr>
                          <pic:cNvPr id="12" name="image6.jpeg"/>
                          <pic:cNvPicPr/>
                        </pic:nvPicPr>
                        <pic:blipFill>
                          <a:blip r:embed="rId16" cstate="print"/>
                          <a:stretch>
                            <a:fillRect/>
                          </a:stretch>
                        </pic:blipFill>
                        <pic:spPr>
                          <a:xfrm>
                            <a:off x="0" y="0"/>
                            <a:ext cx="2195068" cy="731520"/>
                          </a:xfrm>
                          <a:prstGeom prst="rect">
                            <a:avLst/>
                          </a:prstGeom>
                        </pic:spPr>
                      </pic:pic>
                    </a:graphicData>
                  </a:graphic>
                </wp:inline>
              </w:drawing>
            </w:r>
            <w:r>
              <w:rPr>
                <w:sz w:val="20"/>
              </w:rPr>
            </w:r>
          </w:p>
          <w:p>
            <w:pPr>
              <w:pStyle w:val="TableParagraph"/>
              <w:spacing w:before="5"/>
              <w:jc w:val="left"/>
              <w:rPr>
                <w:sz w:val="21"/>
              </w:rPr>
            </w:pPr>
          </w:p>
          <w:p>
            <w:pPr>
              <w:pStyle w:val="TableParagraph"/>
              <w:spacing w:line="276" w:lineRule="auto"/>
              <w:ind w:left="103" w:right="91"/>
              <w:jc w:val="both"/>
              <w:rPr>
                <w:sz w:val="22"/>
              </w:rPr>
            </w:pPr>
            <w:r>
              <w:rPr>
                <w:sz w:val="22"/>
              </w:rPr>
              <w:t>For three-fourths of charters, related-party transactions appear to be more for self- enrichment than saving money or benefitting students.</w:t>
            </w:r>
          </w:p>
        </w:tc>
        <w:tc>
          <w:tcPr>
            <w:tcW w:w="4650" w:type="dxa"/>
          </w:tcPr>
          <w:p>
            <w:pPr>
              <w:pStyle w:val="TableParagraph"/>
              <w:numPr>
                <w:ilvl w:val="0"/>
                <w:numId w:val="6"/>
              </w:numPr>
              <w:tabs>
                <w:tab w:pos="420" w:val="left" w:leader="none"/>
              </w:tabs>
              <w:spacing w:line="259" w:lineRule="auto" w:before="4" w:after="0"/>
              <w:ind w:left="419" w:right="93" w:hanging="268"/>
              <w:jc w:val="both"/>
              <w:rPr>
                <w:sz w:val="22"/>
              </w:rPr>
            </w:pPr>
            <w:r>
              <w:rPr>
                <w:sz w:val="22"/>
              </w:rPr>
              <w:t>Charters need to be held to the same public bidding procurement process as public district schools. That will make any related-party contracts public information. If compliance creates an administrative burden on the charter, then the ASBCS should facilitate the bidding for them as schools have similar needs for which they would need to procure</w:t>
            </w:r>
            <w:r>
              <w:rPr>
                <w:spacing w:val="-16"/>
                <w:sz w:val="22"/>
              </w:rPr>
              <w:t> </w:t>
            </w:r>
            <w:r>
              <w:rPr>
                <w:sz w:val="22"/>
              </w:rPr>
              <w:t>bids.</w:t>
            </w:r>
          </w:p>
          <w:p>
            <w:pPr>
              <w:pStyle w:val="TableParagraph"/>
              <w:numPr>
                <w:ilvl w:val="0"/>
                <w:numId w:val="6"/>
              </w:numPr>
              <w:tabs>
                <w:tab w:pos="420" w:val="left" w:leader="none"/>
              </w:tabs>
              <w:spacing w:line="276" w:lineRule="auto" w:before="158" w:after="0"/>
              <w:ind w:left="419" w:right="94" w:hanging="268"/>
              <w:jc w:val="both"/>
              <w:rPr>
                <w:sz w:val="22"/>
              </w:rPr>
            </w:pPr>
            <w:r>
              <w:rPr>
                <w:sz w:val="22"/>
              </w:rPr>
              <w:t>Any and all Related-party employment compensation needs to be disclosed in audits and the charter must provide a market-based analysis to the ASBCS that demonstrates no more than fair-market value is paid for any compensation to related-parties. The amount of related- party employment compensation for each charter will be available to the public</w:t>
            </w:r>
            <w:r>
              <w:rPr>
                <w:spacing w:val="-39"/>
                <w:sz w:val="22"/>
              </w:rPr>
              <w:t> </w:t>
            </w:r>
            <w:r>
              <w:rPr>
                <w:sz w:val="22"/>
              </w:rPr>
              <w:t>at the ASBCS’ website, including any documentation</w:t>
            </w:r>
          </w:p>
        </w:tc>
      </w:tr>
      <w:tr>
        <w:trPr>
          <w:trHeight w:val="5880" w:hRule="atLeast"/>
        </w:trPr>
        <w:tc>
          <w:tcPr>
            <w:tcW w:w="4700" w:type="dxa"/>
          </w:tcPr>
          <w:p>
            <w:pPr>
              <w:pStyle w:val="TableParagraph"/>
              <w:ind w:left="615"/>
              <w:jc w:val="left"/>
              <w:rPr>
                <w:sz w:val="20"/>
              </w:rPr>
            </w:pPr>
            <w:r>
              <w:rPr>
                <w:sz w:val="20"/>
              </w:rPr>
              <w:drawing>
                <wp:inline distT="0" distB="0" distL="0" distR="0">
                  <wp:extent cx="2196720" cy="731520"/>
                  <wp:effectExtent l="0" t="0" r="0" b="0"/>
                  <wp:docPr id="13" name="image7.jpeg" descr=""/>
                  <wp:cNvGraphicFramePr>
                    <a:graphicFrameLocks noChangeAspect="1"/>
                  </wp:cNvGraphicFramePr>
                  <a:graphic>
                    <a:graphicData uri="http://schemas.openxmlformats.org/drawingml/2006/picture">
                      <pic:pic>
                        <pic:nvPicPr>
                          <pic:cNvPr id="14" name="image7.jpeg"/>
                          <pic:cNvPicPr/>
                        </pic:nvPicPr>
                        <pic:blipFill>
                          <a:blip r:embed="rId17" cstate="print"/>
                          <a:stretch>
                            <a:fillRect/>
                          </a:stretch>
                        </pic:blipFill>
                        <pic:spPr>
                          <a:xfrm>
                            <a:off x="0" y="0"/>
                            <a:ext cx="2196720" cy="731520"/>
                          </a:xfrm>
                          <a:prstGeom prst="rect">
                            <a:avLst/>
                          </a:prstGeom>
                        </pic:spPr>
                      </pic:pic>
                    </a:graphicData>
                  </a:graphic>
                </wp:inline>
              </w:drawing>
            </w:r>
            <w:r>
              <w:rPr>
                <w:sz w:val="20"/>
              </w:rPr>
            </w:r>
          </w:p>
          <w:p>
            <w:pPr>
              <w:pStyle w:val="TableParagraph"/>
              <w:spacing w:before="2"/>
              <w:jc w:val="left"/>
              <w:rPr>
                <w:sz w:val="20"/>
              </w:rPr>
            </w:pPr>
          </w:p>
          <w:p>
            <w:pPr>
              <w:pStyle w:val="TableParagraph"/>
              <w:spacing w:line="276" w:lineRule="auto"/>
              <w:ind w:left="103" w:right="92"/>
              <w:jc w:val="both"/>
              <w:rPr>
                <w:sz w:val="22"/>
              </w:rPr>
            </w:pPr>
            <w:r>
              <w:rPr>
                <w:sz w:val="22"/>
              </w:rPr>
              <w:t>Administrative Compensation is excessive— and given other organizational ways of funneling money, these figures may understate full compensation. For-profit charters</w:t>
            </w:r>
            <w:r>
              <w:rPr>
                <w:spacing w:val="-14"/>
                <w:sz w:val="22"/>
              </w:rPr>
              <w:t> </w:t>
            </w:r>
            <w:r>
              <w:rPr>
                <w:sz w:val="22"/>
              </w:rPr>
              <w:t>do</w:t>
            </w:r>
            <w:r>
              <w:rPr>
                <w:spacing w:val="-17"/>
                <w:sz w:val="22"/>
              </w:rPr>
              <w:t> </w:t>
            </w:r>
            <w:r>
              <w:rPr>
                <w:sz w:val="22"/>
              </w:rPr>
              <w:t>not</w:t>
            </w:r>
            <w:r>
              <w:rPr>
                <w:spacing w:val="-13"/>
                <w:sz w:val="22"/>
              </w:rPr>
              <w:t> </w:t>
            </w:r>
            <w:r>
              <w:rPr>
                <w:sz w:val="22"/>
              </w:rPr>
              <w:t>disclose</w:t>
            </w:r>
            <w:r>
              <w:rPr>
                <w:spacing w:val="-17"/>
                <w:sz w:val="22"/>
              </w:rPr>
              <w:t> </w:t>
            </w:r>
            <w:r>
              <w:rPr>
                <w:sz w:val="22"/>
              </w:rPr>
              <w:t>compensation</w:t>
            </w:r>
            <w:r>
              <w:rPr>
                <w:spacing w:val="-14"/>
                <w:sz w:val="22"/>
              </w:rPr>
              <w:t> </w:t>
            </w:r>
            <w:r>
              <w:rPr>
                <w:sz w:val="22"/>
              </w:rPr>
              <w:t>and</w:t>
            </w:r>
            <w:r>
              <w:rPr>
                <w:spacing w:val="-19"/>
                <w:sz w:val="22"/>
              </w:rPr>
              <w:t> </w:t>
            </w:r>
            <w:r>
              <w:rPr>
                <w:sz w:val="22"/>
              </w:rPr>
              <w:t>for- profit related organizations do not disclose compensation.</w:t>
            </w:r>
          </w:p>
        </w:tc>
        <w:tc>
          <w:tcPr>
            <w:tcW w:w="4650" w:type="dxa"/>
          </w:tcPr>
          <w:p>
            <w:pPr>
              <w:pStyle w:val="TableParagraph"/>
              <w:numPr>
                <w:ilvl w:val="0"/>
                <w:numId w:val="7"/>
              </w:numPr>
              <w:tabs>
                <w:tab w:pos="420" w:val="left" w:leader="none"/>
              </w:tabs>
              <w:spacing w:line="259" w:lineRule="auto" w:before="0" w:after="0"/>
              <w:ind w:left="419" w:right="91" w:hanging="268"/>
              <w:jc w:val="both"/>
              <w:rPr>
                <w:b/>
                <w:sz w:val="22"/>
              </w:rPr>
            </w:pPr>
            <w:r>
              <w:rPr>
                <w:sz w:val="22"/>
              </w:rPr>
              <w:t>Audits need to include compensation to non-instructional personnel in an administrative or ownership capacity. Compensation should be bench-marked by similar personnel in public school districts with less than 1,000 students for small charters with less than 600</w:t>
            </w:r>
            <w:r>
              <w:rPr>
                <w:spacing w:val="-34"/>
                <w:sz w:val="22"/>
              </w:rPr>
              <w:t> </w:t>
            </w:r>
            <w:r>
              <w:rPr>
                <w:sz w:val="22"/>
              </w:rPr>
              <w:t>students. For charters with more students, the benchmark threshold should be set no higher</w:t>
            </w:r>
            <w:r>
              <w:rPr>
                <w:spacing w:val="-8"/>
                <w:sz w:val="22"/>
              </w:rPr>
              <w:t> </w:t>
            </w:r>
            <w:r>
              <w:rPr>
                <w:sz w:val="22"/>
              </w:rPr>
              <w:t>than</w:t>
            </w:r>
            <w:r>
              <w:rPr>
                <w:spacing w:val="-9"/>
                <w:sz w:val="22"/>
              </w:rPr>
              <w:t> </w:t>
            </w:r>
            <w:r>
              <w:rPr>
                <w:sz w:val="22"/>
              </w:rPr>
              <w:t>50%</w:t>
            </w:r>
            <w:r>
              <w:rPr>
                <w:spacing w:val="-6"/>
                <w:sz w:val="22"/>
              </w:rPr>
              <w:t> </w:t>
            </w:r>
            <w:r>
              <w:rPr>
                <w:sz w:val="22"/>
              </w:rPr>
              <w:t>above</w:t>
            </w:r>
            <w:r>
              <w:rPr>
                <w:spacing w:val="-9"/>
                <w:sz w:val="22"/>
              </w:rPr>
              <w:t> </w:t>
            </w:r>
            <w:r>
              <w:rPr>
                <w:sz w:val="22"/>
              </w:rPr>
              <w:t>the</w:t>
            </w:r>
            <w:r>
              <w:rPr>
                <w:spacing w:val="-7"/>
                <w:sz w:val="22"/>
              </w:rPr>
              <w:t> </w:t>
            </w:r>
            <w:r>
              <w:rPr>
                <w:sz w:val="22"/>
              </w:rPr>
              <w:t>total</w:t>
            </w:r>
            <w:r>
              <w:rPr>
                <w:spacing w:val="-7"/>
                <w:sz w:val="22"/>
              </w:rPr>
              <w:t> </w:t>
            </w:r>
            <w:r>
              <w:rPr>
                <w:sz w:val="22"/>
              </w:rPr>
              <w:t>number</w:t>
            </w:r>
            <w:r>
              <w:rPr>
                <w:spacing w:val="-8"/>
                <w:sz w:val="22"/>
              </w:rPr>
              <w:t> </w:t>
            </w:r>
            <w:r>
              <w:rPr>
                <w:sz w:val="22"/>
              </w:rPr>
              <w:t>of students enrolled in the charter. The audit should provide sufficient documentation to justify the total compensation received. This analysis needs to consider ALL methods that ownership and administrators use to compensate themselves including in for- profit subsidiaries</w:t>
            </w:r>
            <w:r>
              <w:rPr>
                <w:b/>
                <w:sz w:val="22"/>
              </w:rPr>
              <w:t>.</w:t>
            </w:r>
          </w:p>
          <w:p>
            <w:pPr>
              <w:pStyle w:val="TableParagraph"/>
              <w:numPr>
                <w:ilvl w:val="0"/>
                <w:numId w:val="7"/>
              </w:numPr>
              <w:tabs>
                <w:tab w:pos="420" w:val="left" w:leader="none"/>
              </w:tabs>
              <w:spacing w:line="240" w:lineRule="auto" w:before="169" w:after="0"/>
              <w:ind w:left="419" w:right="0" w:hanging="268"/>
              <w:jc w:val="both"/>
              <w:rPr>
                <w:sz w:val="22"/>
              </w:rPr>
            </w:pPr>
            <w:r>
              <w:rPr>
                <w:sz w:val="22"/>
              </w:rPr>
              <w:t>Likewise,  any  non-instructional</w:t>
            </w:r>
            <w:r>
              <w:rPr>
                <w:spacing w:val="-33"/>
                <w:sz w:val="22"/>
              </w:rPr>
              <w:t> </w:t>
            </w:r>
            <w:r>
              <w:rPr>
                <w:sz w:val="22"/>
              </w:rPr>
              <w:t>personnel</w:t>
            </w:r>
          </w:p>
          <w:p>
            <w:pPr>
              <w:pStyle w:val="TableParagraph"/>
              <w:spacing w:line="270" w:lineRule="atLeast" w:before="1"/>
              <w:ind w:left="419"/>
              <w:jc w:val="left"/>
              <w:rPr>
                <w:sz w:val="22"/>
              </w:rPr>
            </w:pPr>
            <w:r>
              <w:rPr>
                <w:sz w:val="22"/>
              </w:rPr>
              <w:t>that are technically employed by the for- profit arm of  a charter operation needs to</w:t>
            </w:r>
          </w:p>
        </w:tc>
      </w:tr>
    </w:tbl>
    <w:p>
      <w:pPr>
        <w:spacing w:after="0" w:line="270" w:lineRule="atLeast"/>
        <w:jc w:val="left"/>
        <w:rPr>
          <w:sz w:val="22"/>
        </w:rPr>
        <w:sectPr>
          <w:footerReference w:type="default" r:id="rId15"/>
          <w:pgSz w:w="12240" w:h="15840"/>
          <w:pgMar w:footer="1002" w:header="740" w:top="940" w:bottom="1200" w:left="1220" w:right="1440"/>
        </w:sectPr>
      </w:pPr>
    </w:p>
    <w:p>
      <w:pPr>
        <w:pStyle w:val="BodyText"/>
        <w:rPr>
          <w:rFonts w:ascii="Times New Roman"/>
          <w:sz w:val="20"/>
        </w:rPr>
      </w:pPr>
    </w:p>
    <w:p>
      <w:pPr>
        <w:pStyle w:val="BodyText"/>
        <w:spacing w:before="9"/>
        <w:rPr>
          <w:rFonts w:ascii="Times New Roman"/>
          <w:sz w:val="22"/>
        </w:rPr>
      </w:pPr>
    </w:p>
    <w:tbl>
      <w:tblPr>
        <w:tblW w:w="0" w:type="auto"/>
        <w:jc w:val="left"/>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00"/>
        <w:gridCol w:w="4650"/>
      </w:tblGrid>
      <w:tr>
        <w:trPr>
          <w:trHeight w:val="500" w:hRule="atLeast"/>
        </w:trPr>
        <w:tc>
          <w:tcPr>
            <w:tcW w:w="4700" w:type="dxa"/>
            <w:tcBorders>
              <w:top w:val="nil"/>
              <w:left w:val="nil"/>
              <w:bottom w:val="nil"/>
              <w:right w:val="nil"/>
            </w:tcBorders>
            <w:shd w:val="clear" w:color="auto" w:fill="000000"/>
          </w:tcPr>
          <w:p>
            <w:pPr>
              <w:pStyle w:val="TableParagraph"/>
              <w:spacing w:line="272" w:lineRule="exact"/>
              <w:ind w:left="1896" w:right="1896"/>
              <w:rPr>
                <w:b/>
                <w:sz w:val="24"/>
              </w:rPr>
            </w:pPr>
            <w:r>
              <w:rPr>
                <w:b/>
                <w:color w:val="FFFFFF"/>
                <w:sz w:val="24"/>
              </w:rPr>
              <w:t>Finding</w:t>
            </w:r>
          </w:p>
        </w:tc>
        <w:tc>
          <w:tcPr>
            <w:tcW w:w="4650" w:type="dxa"/>
            <w:tcBorders>
              <w:top w:val="nil"/>
              <w:left w:val="nil"/>
              <w:bottom w:val="nil"/>
              <w:right w:val="nil"/>
            </w:tcBorders>
            <w:shd w:val="clear" w:color="auto" w:fill="000000"/>
          </w:tcPr>
          <w:p>
            <w:pPr>
              <w:pStyle w:val="TableParagraph"/>
              <w:spacing w:line="272" w:lineRule="exact"/>
              <w:ind w:left="1317"/>
              <w:jc w:val="left"/>
              <w:rPr>
                <w:b/>
                <w:sz w:val="24"/>
              </w:rPr>
            </w:pPr>
            <w:r>
              <w:rPr>
                <w:b/>
                <w:color w:val="FFFFFF"/>
                <w:sz w:val="24"/>
              </w:rPr>
              <w:t>Recommendation</w:t>
            </w:r>
          </w:p>
        </w:tc>
      </w:tr>
      <w:tr>
        <w:trPr>
          <w:trHeight w:val="2620" w:hRule="atLeast"/>
        </w:trPr>
        <w:tc>
          <w:tcPr>
            <w:tcW w:w="4700" w:type="dxa"/>
          </w:tcPr>
          <w:p>
            <w:pPr>
              <w:pStyle w:val="TableParagraph"/>
              <w:ind w:left="574" w:right="574"/>
              <w:rPr>
                <w:b/>
                <w:sz w:val="22"/>
              </w:rPr>
            </w:pPr>
            <w:r>
              <w:rPr>
                <w:rFonts w:ascii="Times New Roman" w:hAnsi="Times New Roman"/>
                <w:b/>
                <w:sz w:val="22"/>
              </w:rPr>
              <w:t>High Executive Salaries Continued</w:t>
            </w:r>
            <w:r>
              <w:rPr>
                <w:b/>
                <w:sz w:val="22"/>
              </w:rPr>
              <w:t>…</w:t>
            </w:r>
          </w:p>
        </w:tc>
        <w:tc>
          <w:tcPr>
            <w:tcW w:w="4650" w:type="dxa"/>
          </w:tcPr>
          <w:p>
            <w:pPr>
              <w:pStyle w:val="TableParagraph"/>
              <w:spacing w:line="259" w:lineRule="auto" w:before="4"/>
              <w:ind w:left="419" w:right="94"/>
              <w:jc w:val="both"/>
              <w:rPr>
                <w:sz w:val="22"/>
              </w:rPr>
            </w:pPr>
            <w:r>
              <w:rPr>
                <w:sz w:val="22"/>
              </w:rPr>
              <w:t>have costs fully broken down in the audit, including all salary, benefit, and consulting services with a market-based justification for the costs.</w:t>
            </w:r>
          </w:p>
          <w:p>
            <w:pPr>
              <w:pStyle w:val="TableParagraph"/>
              <w:jc w:val="left"/>
              <w:rPr>
                <w:rFonts w:ascii="Times New Roman"/>
                <w:sz w:val="24"/>
              </w:rPr>
            </w:pPr>
          </w:p>
          <w:p>
            <w:pPr>
              <w:pStyle w:val="TableParagraph"/>
              <w:spacing w:line="259" w:lineRule="auto"/>
              <w:ind w:left="419" w:right="96" w:hanging="269"/>
              <w:jc w:val="both"/>
              <w:rPr>
                <w:sz w:val="22"/>
              </w:rPr>
            </w:pPr>
            <w:r>
              <w:rPr>
                <w:sz w:val="22"/>
              </w:rPr>
              <w:t>3. Charter school financial data needs to be shared with and monitored by the Auditor General’s Office just as they are for public district schools.</w:t>
            </w:r>
          </w:p>
        </w:tc>
      </w:tr>
      <w:tr>
        <w:trPr>
          <w:trHeight w:val="3540" w:hRule="atLeast"/>
        </w:trPr>
        <w:tc>
          <w:tcPr>
            <w:tcW w:w="4700" w:type="dxa"/>
          </w:tcPr>
          <w:p>
            <w:pPr>
              <w:pStyle w:val="TableParagraph"/>
              <w:ind w:left="615"/>
              <w:jc w:val="left"/>
              <w:rPr>
                <w:rFonts w:ascii="Times New Roman"/>
                <w:sz w:val="20"/>
              </w:rPr>
            </w:pPr>
            <w:r>
              <w:rPr>
                <w:rFonts w:ascii="Times New Roman"/>
                <w:sz w:val="20"/>
              </w:rPr>
              <w:drawing>
                <wp:inline distT="0" distB="0" distL="0" distR="0">
                  <wp:extent cx="2197609" cy="731520"/>
                  <wp:effectExtent l="0" t="0" r="0" b="0"/>
                  <wp:docPr id="15" name="image8.jpeg" descr=""/>
                  <wp:cNvGraphicFramePr>
                    <a:graphicFrameLocks noChangeAspect="1"/>
                  </wp:cNvGraphicFramePr>
                  <a:graphic>
                    <a:graphicData uri="http://schemas.openxmlformats.org/drawingml/2006/picture">
                      <pic:pic>
                        <pic:nvPicPr>
                          <pic:cNvPr id="16" name="image8.jpeg"/>
                          <pic:cNvPicPr/>
                        </pic:nvPicPr>
                        <pic:blipFill>
                          <a:blip r:embed="rId19" cstate="print"/>
                          <a:stretch>
                            <a:fillRect/>
                          </a:stretch>
                        </pic:blipFill>
                        <pic:spPr>
                          <a:xfrm>
                            <a:off x="0" y="0"/>
                            <a:ext cx="2197609" cy="731520"/>
                          </a:xfrm>
                          <a:prstGeom prst="rect">
                            <a:avLst/>
                          </a:prstGeom>
                        </pic:spPr>
                      </pic:pic>
                    </a:graphicData>
                  </a:graphic>
                </wp:inline>
              </w:drawing>
            </w:r>
            <w:r>
              <w:rPr>
                <w:rFonts w:ascii="Times New Roman"/>
                <w:sz w:val="20"/>
              </w:rPr>
            </w:r>
          </w:p>
          <w:p>
            <w:pPr>
              <w:pStyle w:val="TableParagraph"/>
              <w:spacing w:before="7"/>
              <w:jc w:val="left"/>
              <w:rPr>
                <w:rFonts w:ascii="Times New Roman"/>
                <w:sz w:val="20"/>
              </w:rPr>
            </w:pPr>
          </w:p>
          <w:p>
            <w:pPr>
              <w:pStyle w:val="TableParagraph"/>
              <w:spacing w:line="276" w:lineRule="auto" w:before="1"/>
              <w:ind w:left="103" w:right="233"/>
              <w:jc w:val="both"/>
              <w:rPr>
                <w:sz w:val="24"/>
              </w:rPr>
            </w:pPr>
            <w:r>
              <w:rPr>
                <w:sz w:val="24"/>
              </w:rPr>
              <w:t>Questionable (excessive) distributions to shareholders occurred in 2014-2015 with by one-third of for-profit charters.</w:t>
            </w:r>
          </w:p>
        </w:tc>
        <w:tc>
          <w:tcPr>
            <w:tcW w:w="4650" w:type="dxa"/>
          </w:tcPr>
          <w:p>
            <w:pPr>
              <w:pStyle w:val="TableParagraph"/>
              <w:spacing w:line="259" w:lineRule="auto"/>
              <w:ind w:left="102" w:right="96"/>
              <w:jc w:val="both"/>
              <w:rPr>
                <w:sz w:val="22"/>
              </w:rPr>
            </w:pPr>
            <w:r>
              <w:rPr>
                <w:sz w:val="22"/>
              </w:rPr>
              <w:t>The ASBCS should be monitoring and approving any distributions in excess of the charter’s net for the year. Documentation on where the funding for the distribution came from needs to be include in the audit information. Draws on Owner’s Equity for distributions need to be evaluated against the company’s fiscal position on the ASBCS' Financial Performance Recommendations.</w:t>
            </w:r>
          </w:p>
          <w:p>
            <w:pPr>
              <w:pStyle w:val="TableParagraph"/>
              <w:spacing w:before="162"/>
              <w:ind w:left="102"/>
              <w:jc w:val="both"/>
              <w:rPr>
                <w:sz w:val="22"/>
              </w:rPr>
            </w:pPr>
            <w:r>
              <w:rPr>
                <w:w w:val="100"/>
                <w:sz w:val="22"/>
              </w:rPr>
              <w:t>.</w:t>
            </w:r>
          </w:p>
        </w:tc>
      </w:tr>
    </w:tbl>
    <w:p>
      <w:pPr>
        <w:spacing w:after="0"/>
        <w:jc w:val="both"/>
        <w:rPr>
          <w:sz w:val="22"/>
        </w:rPr>
        <w:sectPr>
          <w:footerReference w:type="default" r:id="rId18"/>
          <w:pgSz w:w="12240" w:h="15840"/>
          <w:pgMar w:footer="1002" w:header="740" w:top="940" w:bottom="1200" w:left="1220" w:right="1440"/>
          <w:pgNumType w:start="21"/>
        </w:sectPr>
      </w:pPr>
    </w:p>
    <w:p>
      <w:pPr>
        <w:pStyle w:val="BodyText"/>
        <w:rPr>
          <w:rFonts w:ascii="Times New Roman"/>
          <w:sz w:val="20"/>
        </w:rPr>
      </w:pPr>
    </w:p>
    <w:p>
      <w:pPr>
        <w:pStyle w:val="BodyText"/>
        <w:spacing w:before="2"/>
        <w:rPr>
          <w:rFonts w:ascii="Times New Roman"/>
          <w:sz w:val="22"/>
        </w:rPr>
      </w:pPr>
    </w:p>
    <w:tbl>
      <w:tblPr>
        <w:tblW w:w="0" w:type="auto"/>
        <w:jc w:val="left"/>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00"/>
        <w:gridCol w:w="4650"/>
      </w:tblGrid>
      <w:tr>
        <w:trPr>
          <w:trHeight w:val="480" w:hRule="atLeast"/>
        </w:trPr>
        <w:tc>
          <w:tcPr>
            <w:tcW w:w="4700" w:type="dxa"/>
            <w:tcBorders>
              <w:top w:val="nil"/>
              <w:left w:val="nil"/>
              <w:bottom w:val="nil"/>
              <w:right w:val="nil"/>
            </w:tcBorders>
            <w:shd w:val="clear" w:color="auto" w:fill="000000"/>
          </w:tcPr>
          <w:p>
            <w:pPr>
              <w:pStyle w:val="TableParagraph"/>
              <w:spacing w:line="272" w:lineRule="exact"/>
              <w:ind w:left="1896" w:right="1896"/>
              <w:rPr>
                <w:b/>
                <w:sz w:val="24"/>
              </w:rPr>
            </w:pPr>
            <w:r>
              <w:rPr>
                <w:b/>
                <w:color w:val="FFFFFF"/>
                <w:sz w:val="24"/>
              </w:rPr>
              <w:t>Finding</w:t>
            </w:r>
          </w:p>
        </w:tc>
        <w:tc>
          <w:tcPr>
            <w:tcW w:w="4650" w:type="dxa"/>
            <w:tcBorders>
              <w:top w:val="nil"/>
              <w:left w:val="nil"/>
              <w:bottom w:val="nil"/>
              <w:right w:val="nil"/>
            </w:tcBorders>
            <w:shd w:val="clear" w:color="auto" w:fill="000000"/>
          </w:tcPr>
          <w:p>
            <w:pPr>
              <w:pStyle w:val="TableParagraph"/>
              <w:spacing w:line="272" w:lineRule="exact"/>
              <w:ind w:left="1317"/>
              <w:jc w:val="left"/>
              <w:rPr>
                <w:b/>
                <w:sz w:val="24"/>
              </w:rPr>
            </w:pPr>
            <w:r>
              <w:rPr>
                <w:b/>
                <w:color w:val="FFFFFF"/>
                <w:sz w:val="24"/>
              </w:rPr>
              <w:t>Recommendation</w:t>
            </w:r>
          </w:p>
        </w:tc>
      </w:tr>
      <w:tr>
        <w:trPr>
          <w:trHeight w:val="4000" w:hRule="atLeast"/>
        </w:trPr>
        <w:tc>
          <w:tcPr>
            <w:tcW w:w="4700" w:type="dxa"/>
          </w:tcPr>
          <w:p>
            <w:pPr>
              <w:pStyle w:val="TableParagraph"/>
              <w:ind w:left="615"/>
              <w:jc w:val="left"/>
              <w:rPr>
                <w:rFonts w:ascii="Times New Roman"/>
                <w:sz w:val="20"/>
              </w:rPr>
            </w:pPr>
            <w:r>
              <w:rPr>
                <w:rFonts w:ascii="Times New Roman"/>
                <w:sz w:val="20"/>
              </w:rPr>
              <w:drawing>
                <wp:inline distT="0" distB="0" distL="0" distR="0">
                  <wp:extent cx="2196212" cy="731520"/>
                  <wp:effectExtent l="0" t="0" r="0" b="0"/>
                  <wp:docPr id="17" name="image9.jpeg" descr=""/>
                  <wp:cNvGraphicFramePr>
                    <a:graphicFrameLocks noChangeAspect="1"/>
                  </wp:cNvGraphicFramePr>
                  <a:graphic>
                    <a:graphicData uri="http://schemas.openxmlformats.org/drawingml/2006/picture">
                      <pic:pic>
                        <pic:nvPicPr>
                          <pic:cNvPr id="18" name="image9.jpeg"/>
                          <pic:cNvPicPr/>
                        </pic:nvPicPr>
                        <pic:blipFill>
                          <a:blip r:embed="rId20" cstate="print"/>
                          <a:stretch>
                            <a:fillRect/>
                          </a:stretch>
                        </pic:blipFill>
                        <pic:spPr>
                          <a:xfrm>
                            <a:off x="0" y="0"/>
                            <a:ext cx="2196212" cy="731520"/>
                          </a:xfrm>
                          <a:prstGeom prst="rect">
                            <a:avLst/>
                          </a:prstGeom>
                        </pic:spPr>
                      </pic:pic>
                    </a:graphicData>
                  </a:graphic>
                </wp:inline>
              </w:drawing>
            </w:r>
            <w:r>
              <w:rPr>
                <w:rFonts w:ascii="Times New Roman"/>
                <w:sz w:val="20"/>
              </w:rPr>
            </w:r>
          </w:p>
          <w:p>
            <w:pPr>
              <w:pStyle w:val="TableParagraph"/>
              <w:spacing w:before="3"/>
              <w:jc w:val="left"/>
              <w:rPr>
                <w:rFonts w:ascii="Times New Roman"/>
                <w:sz w:val="21"/>
              </w:rPr>
            </w:pPr>
          </w:p>
          <w:p>
            <w:pPr>
              <w:pStyle w:val="TableParagraph"/>
              <w:spacing w:line="276" w:lineRule="auto"/>
              <w:ind w:left="103" w:right="85"/>
              <w:jc w:val="left"/>
              <w:rPr>
                <w:sz w:val="24"/>
              </w:rPr>
            </w:pPr>
            <w:r>
              <w:rPr>
                <w:sz w:val="24"/>
              </w:rPr>
              <w:t>While public district schools in 2014-2015 put 51.49% of resources directly into the classroom, charters only average 47.49%.</w:t>
            </w:r>
          </w:p>
          <w:p>
            <w:pPr>
              <w:pStyle w:val="TableParagraph"/>
              <w:spacing w:line="276" w:lineRule="auto" w:before="202"/>
              <w:ind w:left="103" w:right="325"/>
              <w:jc w:val="left"/>
              <w:rPr>
                <w:sz w:val="24"/>
              </w:rPr>
            </w:pPr>
            <w:r>
              <w:rPr>
                <w:sz w:val="24"/>
              </w:rPr>
              <w:t>The data for ten years was evaluated. The prior year 2013-2014 districts spent 52% of resources directly into the classroom, charters only average 45%.</w:t>
            </w:r>
          </w:p>
        </w:tc>
        <w:tc>
          <w:tcPr>
            <w:tcW w:w="4650" w:type="dxa"/>
          </w:tcPr>
          <w:p>
            <w:pPr>
              <w:pStyle w:val="TableParagraph"/>
              <w:spacing w:line="259" w:lineRule="auto" w:before="4"/>
              <w:ind w:left="102" w:right="95"/>
              <w:jc w:val="both"/>
              <w:rPr>
                <w:sz w:val="22"/>
              </w:rPr>
            </w:pPr>
            <w:r>
              <w:rPr>
                <w:sz w:val="22"/>
              </w:rPr>
              <w:t>Charter school financial data needs to be shared with and monitored by the Auditor General’s Office just as they are for public district schools.</w:t>
            </w:r>
          </w:p>
        </w:tc>
      </w:tr>
      <w:tr>
        <w:trPr>
          <w:trHeight w:val="3280" w:hRule="atLeast"/>
        </w:trPr>
        <w:tc>
          <w:tcPr>
            <w:tcW w:w="4700" w:type="dxa"/>
          </w:tcPr>
          <w:p>
            <w:pPr>
              <w:pStyle w:val="TableParagraph"/>
              <w:ind w:left="646"/>
              <w:jc w:val="left"/>
              <w:rPr>
                <w:rFonts w:ascii="Times New Roman"/>
                <w:sz w:val="20"/>
              </w:rPr>
            </w:pPr>
            <w:r>
              <w:rPr>
                <w:rFonts w:ascii="Times New Roman"/>
                <w:sz w:val="20"/>
              </w:rPr>
              <w:drawing>
                <wp:inline distT="0" distB="0" distL="0" distR="0">
                  <wp:extent cx="2194559" cy="731520"/>
                  <wp:effectExtent l="0" t="0" r="0" b="0"/>
                  <wp:docPr id="19" name="image10.jpeg" descr=""/>
                  <wp:cNvGraphicFramePr>
                    <a:graphicFrameLocks noChangeAspect="1"/>
                  </wp:cNvGraphicFramePr>
                  <a:graphic>
                    <a:graphicData uri="http://schemas.openxmlformats.org/drawingml/2006/picture">
                      <pic:pic>
                        <pic:nvPicPr>
                          <pic:cNvPr id="20" name="image10.jpeg"/>
                          <pic:cNvPicPr/>
                        </pic:nvPicPr>
                        <pic:blipFill>
                          <a:blip r:embed="rId21" cstate="print"/>
                          <a:stretch>
                            <a:fillRect/>
                          </a:stretch>
                        </pic:blipFill>
                        <pic:spPr>
                          <a:xfrm>
                            <a:off x="0" y="0"/>
                            <a:ext cx="2194559" cy="731520"/>
                          </a:xfrm>
                          <a:prstGeom prst="rect">
                            <a:avLst/>
                          </a:prstGeom>
                        </pic:spPr>
                      </pic:pic>
                    </a:graphicData>
                  </a:graphic>
                </wp:inline>
              </w:drawing>
            </w:r>
            <w:r>
              <w:rPr>
                <w:rFonts w:ascii="Times New Roman"/>
                <w:sz w:val="20"/>
              </w:rPr>
            </w:r>
          </w:p>
          <w:p>
            <w:pPr>
              <w:pStyle w:val="TableParagraph"/>
              <w:jc w:val="left"/>
              <w:rPr>
                <w:rFonts w:ascii="Times New Roman"/>
                <w:sz w:val="20"/>
              </w:rPr>
            </w:pPr>
          </w:p>
          <w:p>
            <w:pPr>
              <w:pStyle w:val="TableParagraph"/>
              <w:spacing w:line="276" w:lineRule="auto"/>
              <w:ind w:left="103" w:right="177"/>
              <w:jc w:val="left"/>
              <w:rPr>
                <w:sz w:val="22"/>
              </w:rPr>
            </w:pPr>
            <w:r>
              <w:rPr>
                <w:sz w:val="22"/>
              </w:rPr>
              <w:t>The charter sector as a whole underperforms academically relative to similar demographic students in public district schools. Online charters show particularly poor academic performance.</w:t>
            </w:r>
          </w:p>
        </w:tc>
        <w:tc>
          <w:tcPr>
            <w:tcW w:w="4650" w:type="dxa"/>
          </w:tcPr>
          <w:p>
            <w:pPr>
              <w:pStyle w:val="TableParagraph"/>
              <w:ind w:left="102" w:right="-6"/>
              <w:jc w:val="both"/>
              <w:rPr>
                <w:sz w:val="22"/>
              </w:rPr>
            </w:pPr>
            <w:r>
              <w:rPr>
                <w:sz w:val="22"/>
              </w:rPr>
              <w:t>Improved financial oversight as outlined in this report and improved financial transparency for the public, including parents, would enable parents to make more informed choices regarding their child’s education and make charters     more accountable to taxpayers.</w:t>
            </w:r>
          </w:p>
          <w:p>
            <w:pPr>
              <w:pStyle w:val="TableParagraph"/>
              <w:spacing w:before="6"/>
              <w:jc w:val="left"/>
              <w:rPr>
                <w:rFonts w:ascii="Times New Roman"/>
                <w:sz w:val="20"/>
              </w:rPr>
            </w:pPr>
          </w:p>
          <w:p>
            <w:pPr>
              <w:pStyle w:val="TableParagraph"/>
              <w:spacing w:line="276" w:lineRule="auto"/>
              <w:ind w:left="102" w:right="95"/>
              <w:jc w:val="both"/>
              <w:rPr>
                <w:sz w:val="22"/>
              </w:rPr>
            </w:pPr>
            <w:r>
              <w:rPr>
                <w:sz w:val="22"/>
              </w:rPr>
              <w:t>In addition, all online charters should be reviewed immediately to evaluate the quality of their academic offerings and student achievement to determine whether their charter should continue.</w:t>
            </w:r>
          </w:p>
        </w:tc>
      </w:tr>
    </w:tbl>
    <w:p>
      <w:pPr>
        <w:spacing w:after="0" w:line="276" w:lineRule="auto"/>
        <w:jc w:val="both"/>
        <w:rPr>
          <w:sz w:val="22"/>
        </w:rPr>
        <w:sectPr>
          <w:pgSz w:w="12240" w:h="15840"/>
          <w:pgMar w:header="740" w:footer="1002" w:top="940" w:bottom="1200" w:left="1220" w:right="1440"/>
        </w:sectPr>
      </w:pPr>
    </w:p>
    <w:p>
      <w:pPr>
        <w:pStyle w:val="BodyText"/>
        <w:rPr>
          <w:rFonts w:ascii="Times New Roman"/>
          <w:sz w:val="20"/>
        </w:rPr>
      </w:pPr>
    </w:p>
    <w:p>
      <w:pPr>
        <w:pStyle w:val="BodyText"/>
        <w:spacing w:before="9"/>
        <w:rPr>
          <w:rFonts w:ascii="Times New Roman"/>
          <w:sz w:val="22"/>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00"/>
        <w:gridCol w:w="4650"/>
      </w:tblGrid>
      <w:tr>
        <w:trPr>
          <w:trHeight w:val="500" w:hRule="atLeast"/>
        </w:trPr>
        <w:tc>
          <w:tcPr>
            <w:tcW w:w="4700" w:type="dxa"/>
            <w:shd w:val="clear" w:color="auto" w:fill="000000"/>
          </w:tcPr>
          <w:p>
            <w:pPr>
              <w:pStyle w:val="TableParagraph"/>
              <w:spacing w:line="272" w:lineRule="exact"/>
              <w:ind w:left="1896" w:right="1896"/>
              <w:rPr>
                <w:b/>
                <w:sz w:val="24"/>
              </w:rPr>
            </w:pPr>
            <w:r>
              <w:rPr>
                <w:b/>
                <w:color w:val="FFFFFF"/>
                <w:sz w:val="24"/>
              </w:rPr>
              <w:t>Finding</w:t>
            </w:r>
          </w:p>
        </w:tc>
        <w:tc>
          <w:tcPr>
            <w:tcW w:w="4650" w:type="dxa"/>
            <w:shd w:val="clear" w:color="auto" w:fill="000000"/>
          </w:tcPr>
          <w:p>
            <w:pPr>
              <w:pStyle w:val="TableParagraph"/>
              <w:spacing w:line="272" w:lineRule="exact"/>
              <w:ind w:left="1317"/>
              <w:jc w:val="left"/>
              <w:rPr>
                <w:b/>
                <w:sz w:val="24"/>
              </w:rPr>
            </w:pPr>
            <w:r>
              <w:rPr>
                <w:b/>
                <w:color w:val="FFFFFF"/>
                <w:sz w:val="24"/>
              </w:rPr>
              <w:t>Recommendation</w:t>
            </w:r>
          </w:p>
        </w:tc>
      </w:tr>
      <w:tr>
        <w:trPr>
          <w:trHeight w:val="7240" w:hRule="atLeast"/>
        </w:trPr>
        <w:tc>
          <w:tcPr>
            <w:tcW w:w="4700" w:type="dxa"/>
            <w:tcBorders>
              <w:left w:val="single" w:sz="4" w:space="0" w:color="000000"/>
              <w:bottom w:val="single" w:sz="4" w:space="0" w:color="000000"/>
              <w:right w:val="single" w:sz="4" w:space="0" w:color="000000"/>
            </w:tcBorders>
          </w:tcPr>
          <w:p>
            <w:pPr>
              <w:pStyle w:val="TableParagraph"/>
              <w:ind w:left="615"/>
              <w:jc w:val="left"/>
              <w:rPr>
                <w:rFonts w:ascii="Times New Roman"/>
                <w:sz w:val="20"/>
              </w:rPr>
            </w:pPr>
            <w:r>
              <w:rPr>
                <w:rFonts w:ascii="Times New Roman"/>
                <w:sz w:val="20"/>
              </w:rPr>
              <w:drawing>
                <wp:inline distT="0" distB="0" distL="0" distR="0">
                  <wp:extent cx="2194687" cy="731520"/>
                  <wp:effectExtent l="0" t="0" r="0" b="0"/>
                  <wp:docPr id="21" name="image11.jpeg" descr=""/>
                  <wp:cNvGraphicFramePr>
                    <a:graphicFrameLocks noChangeAspect="1"/>
                  </wp:cNvGraphicFramePr>
                  <a:graphic>
                    <a:graphicData uri="http://schemas.openxmlformats.org/drawingml/2006/picture">
                      <pic:pic>
                        <pic:nvPicPr>
                          <pic:cNvPr id="22" name="image11.jpeg"/>
                          <pic:cNvPicPr/>
                        </pic:nvPicPr>
                        <pic:blipFill>
                          <a:blip r:embed="rId22" cstate="print"/>
                          <a:stretch>
                            <a:fillRect/>
                          </a:stretch>
                        </pic:blipFill>
                        <pic:spPr>
                          <a:xfrm>
                            <a:off x="0" y="0"/>
                            <a:ext cx="2194687" cy="731520"/>
                          </a:xfrm>
                          <a:prstGeom prst="rect">
                            <a:avLst/>
                          </a:prstGeom>
                        </pic:spPr>
                      </pic:pic>
                    </a:graphicData>
                  </a:graphic>
                </wp:inline>
              </w:drawing>
            </w:r>
            <w:r>
              <w:rPr>
                <w:rFonts w:ascii="Times New Roman"/>
                <w:sz w:val="20"/>
              </w:rPr>
            </w:r>
          </w:p>
          <w:p>
            <w:pPr>
              <w:pStyle w:val="TableParagraph"/>
              <w:spacing w:before="7"/>
              <w:jc w:val="left"/>
              <w:rPr>
                <w:rFonts w:ascii="Times New Roman"/>
                <w:sz w:val="20"/>
              </w:rPr>
            </w:pPr>
          </w:p>
          <w:p>
            <w:pPr>
              <w:pStyle w:val="TableParagraph"/>
              <w:spacing w:line="276" w:lineRule="auto"/>
              <w:ind w:left="103" w:right="93"/>
              <w:jc w:val="both"/>
              <w:rPr>
                <w:sz w:val="22"/>
              </w:rPr>
            </w:pPr>
            <w:r>
              <w:rPr>
                <w:sz w:val="22"/>
              </w:rPr>
              <w:t>Frequently numbers in AFRs, Audits, and IRS filings are inconsistent even though they</w:t>
            </w:r>
            <w:r>
              <w:rPr>
                <w:spacing w:val="-37"/>
                <w:sz w:val="22"/>
              </w:rPr>
              <w:t> </w:t>
            </w:r>
            <w:r>
              <w:rPr>
                <w:sz w:val="22"/>
              </w:rPr>
              <w:t>cover the same period. Some Audits are inadequately detailed and done by out-of- state firms that may not be familiar with Arizona</w:t>
            </w:r>
            <w:r>
              <w:rPr>
                <w:spacing w:val="-18"/>
                <w:sz w:val="22"/>
              </w:rPr>
              <w:t> </w:t>
            </w:r>
            <w:r>
              <w:rPr>
                <w:sz w:val="22"/>
              </w:rPr>
              <w:t>law.</w:t>
            </w:r>
          </w:p>
        </w:tc>
        <w:tc>
          <w:tcPr>
            <w:tcW w:w="4650" w:type="dxa"/>
            <w:tcBorders>
              <w:left w:val="single" w:sz="4" w:space="0" w:color="000000"/>
              <w:bottom w:val="single" w:sz="4" w:space="0" w:color="000000"/>
              <w:right w:val="single" w:sz="4" w:space="0" w:color="000000"/>
            </w:tcBorders>
          </w:tcPr>
          <w:p>
            <w:pPr>
              <w:pStyle w:val="TableParagraph"/>
              <w:numPr>
                <w:ilvl w:val="0"/>
                <w:numId w:val="8"/>
              </w:numPr>
              <w:tabs>
                <w:tab w:pos="420" w:val="left" w:leader="none"/>
              </w:tabs>
              <w:spacing w:line="259" w:lineRule="auto" w:before="0" w:after="0"/>
              <w:ind w:left="419" w:right="94" w:hanging="268"/>
              <w:jc w:val="both"/>
              <w:rPr>
                <w:sz w:val="22"/>
              </w:rPr>
            </w:pPr>
            <w:r>
              <w:rPr>
                <w:sz w:val="22"/>
              </w:rPr>
              <w:t>Audits need to follow a standard format that requires detail and supporting information on assets and liabilities, revenues and expenditures, and related- party</w:t>
            </w:r>
            <w:r>
              <w:rPr>
                <w:spacing w:val="-9"/>
                <w:sz w:val="22"/>
              </w:rPr>
              <w:t> </w:t>
            </w:r>
            <w:r>
              <w:rPr>
                <w:sz w:val="22"/>
              </w:rPr>
              <w:t>expenses.</w:t>
            </w:r>
          </w:p>
          <w:p>
            <w:pPr>
              <w:pStyle w:val="TableParagraph"/>
              <w:numPr>
                <w:ilvl w:val="1"/>
                <w:numId w:val="8"/>
              </w:numPr>
              <w:tabs>
                <w:tab w:pos="871" w:val="left" w:leader="none"/>
              </w:tabs>
              <w:spacing w:line="259" w:lineRule="auto" w:before="8" w:after="0"/>
              <w:ind w:left="871" w:right="96" w:hanging="272"/>
              <w:jc w:val="both"/>
              <w:rPr>
                <w:sz w:val="22"/>
              </w:rPr>
            </w:pPr>
            <w:r>
              <w:rPr>
                <w:sz w:val="22"/>
              </w:rPr>
              <w:t>Audits need to be done by auditors with offices located in Arizona with a demonstrated expertise in Arizona law.</w:t>
            </w:r>
          </w:p>
          <w:p>
            <w:pPr>
              <w:pStyle w:val="TableParagraph"/>
              <w:numPr>
                <w:ilvl w:val="1"/>
                <w:numId w:val="8"/>
              </w:numPr>
              <w:tabs>
                <w:tab w:pos="871" w:val="left" w:leader="none"/>
              </w:tabs>
              <w:spacing w:line="259" w:lineRule="auto" w:before="1" w:after="0"/>
              <w:ind w:left="871" w:right="95" w:hanging="272"/>
              <w:jc w:val="both"/>
              <w:rPr>
                <w:sz w:val="22"/>
              </w:rPr>
            </w:pPr>
            <w:r>
              <w:rPr>
                <w:sz w:val="22"/>
              </w:rPr>
              <w:t>The ASBCS needs to provide a list of acceptable auditors using data gleaned from the audits to determine which auditors are currently providing acceptable levels of</w:t>
            </w:r>
            <w:r>
              <w:rPr>
                <w:spacing w:val="-18"/>
                <w:sz w:val="22"/>
              </w:rPr>
              <w:t> </w:t>
            </w:r>
            <w:r>
              <w:rPr>
                <w:sz w:val="22"/>
              </w:rPr>
              <w:t>information.</w:t>
            </w:r>
          </w:p>
          <w:p>
            <w:pPr>
              <w:pStyle w:val="TableParagraph"/>
              <w:numPr>
                <w:ilvl w:val="1"/>
                <w:numId w:val="8"/>
              </w:numPr>
              <w:tabs>
                <w:tab w:pos="871" w:val="left" w:leader="none"/>
              </w:tabs>
              <w:spacing w:line="259" w:lineRule="auto" w:before="1" w:after="0"/>
              <w:ind w:left="871" w:right="95" w:hanging="272"/>
              <w:jc w:val="both"/>
              <w:rPr>
                <w:sz w:val="22"/>
              </w:rPr>
            </w:pPr>
            <w:r>
              <w:rPr>
                <w:sz w:val="22"/>
              </w:rPr>
              <w:t>Audits need to be done for each charter entity or for the charter separate</w:t>
            </w:r>
            <w:r>
              <w:rPr>
                <w:spacing w:val="-20"/>
                <w:sz w:val="22"/>
              </w:rPr>
              <w:t> </w:t>
            </w:r>
            <w:r>
              <w:rPr>
                <w:sz w:val="22"/>
              </w:rPr>
              <w:t>from</w:t>
            </w:r>
            <w:r>
              <w:rPr>
                <w:spacing w:val="-17"/>
                <w:sz w:val="22"/>
              </w:rPr>
              <w:t> </w:t>
            </w:r>
            <w:r>
              <w:rPr>
                <w:sz w:val="22"/>
              </w:rPr>
              <w:t>any</w:t>
            </w:r>
            <w:r>
              <w:rPr>
                <w:spacing w:val="-17"/>
                <w:sz w:val="22"/>
              </w:rPr>
              <w:t> </w:t>
            </w:r>
            <w:r>
              <w:rPr>
                <w:sz w:val="22"/>
              </w:rPr>
              <w:t>larger</w:t>
            </w:r>
            <w:r>
              <w:rPr>
                <w:spacing w:val="-16"/>
                <w:sz w:val="22"/>
              </w:rPr>
              <w:t> </w:t>
            </w:r>
            <w:r>
              <w:rPr>
                <w:sz w:val="22"/>
              </w:rPr>
              <w:t>entity</w:t>
            </w:r>
            <w:r>
              <w:rPr>
                <w:spacing w:val="-17"/>
                <w:sz w:val="22"/>
              </w:rPr>
              <w:t> </w:t>
            </w:r>
            <w:r>
              <w:rPr>
                <w:sz w:val="22"/>
              </w:rPr>
              <w:t>it</w:t>
            </w:r>
            <w:r>
              <w:rPr>
                <w:spacing w:val="-14"/>
                <w:sz w:val="22"/>
              </w:rPr>
              <w:t> </w:t>
            </w:r>
            <w:r>
              <w:rPr>
                <w:sz w:val="22"/>
              </w:rPr>
              <w:t>might be part of THEN a Consolidated</w:t>
            </w:r>
            <w:r>
              <w:rPr>
                <w:spacing w:val="-24"/>
                <w:sz w:val="22"/>
              </w:rPr>
              <w:t> </w:t>
            </w:r>
            <w:r>
              <w:rPr>
                <w:sz w:val="22"/>
              </w:rPr>
              <w:t>Audit can be prepared collating that</w:t>
            </w:r>
            <w:r>
              <w:rPr>
                <w:spacing w:val="-14"/>
                <w:sz w:val="22"/>
              </w:rPr>
              <w:t> </w:t>
            </w:r>
            <w:r>
              <w:rPr>
                <w:sz w:val="22"/>
              </w:rPr>
              <w:t>data.</w:t>
            </w:r>
          </w:p>
          <w:p>
            <w:pPr>
              <w:pStyle w:val="TableParagraph"/>
              <w:numPr>
                <w:ilvl w:val="0"/>
                <w:numId w:val="8"/>
              </w:numPr>
              <w:tabs>
                <w:tab w:pos="420" w:val="left" w:leader="none"/>
              </w:tabs>
              <w:spacing w:line="259" w:lineRule="auto" w:before="1" w:after="0"/>
              <w:ind w:left="419" w:right="93" w:hanging="268"/>
              <w:jc w:val="both"/>
              <w:rPr>
                <w:sz w:val="22"/>
              </w:rPr>
            </w:pPr>
            <w:r>
              <w:rPr>
                <w:sz w:val="22"/>
              </w:rPr>
              <w:t>Audit reports need to be numerically identical to what is provided in Federal 990s and AFRs. Any inconsistencies would need to be explained in the audit with specific plans on how to remedy the deficiency in the</w:t>
            </w:r>
            <w:r>
              <w:rPr>
                <w:spacing w:val="-16"/>
                <w:sz w:val="22"/>
              </w:rPr>
              <w:t> </w:t>
            </w:r>
            <w:r>
              <w:rPr>
                <w:sz w:val="22"/>
              </w:rPr>
              <w:t>future.</w:t>
            </w:r>
          </w:p>
        </w:tc>
      </w:tr>
    </w:tbl>
    <w:p>
      <w:pPr>
        <w:spacing w:after="0" w:line="259" w:lineRule="auto"/>
        <w:jc w:val="both"/>
        <w:rPr>
          <w:sz w:val="22"/>
        </w:rPr>
        <w:sectPr>
          <w:pgSz w:w="12240" w:h="15840"/>
          <w:pgMar w:header="740" w:footer="1002" w:top="940" w:bottom="1200" w:left="1220" w:right="1440"/>
        </w:sectPr>
      </w:pPr>
    </w:p>
    <w:p>
      <w:pPr>
        <w:pStyle w:val="BodyText"/>
        <w:rPr>
          <w:rFonts w:ascii="Times New Roman"/>
          <w:sz w:val="20"/>
        </w:rPr>
      </w:pPr>
    </w:p>
    <w:p>
      <w:pPr>
        <w:pStyle w:val="Heading1"/>
        <w:ind w:left="100"/>
        <w:jc w:val="both"/>
      </w:pPr>
      <w:bookmarkStart w:name="_bookmark19" w:id="20"/>
      <w:bookmarkEnd w:id="20"/>
      <w:r>
        <w:rPr/>
      </w:r>
      <w:r>
        <w:rPr>
          <w:color w:val="365F91"/>
        </w:rPr>
        <w:t>Introduction and Scope</w:t>
      </w:r>
    </w:p>
    <w:p>
      <w:pPr>
        <w:pStyle w:val="BodyText"/>
        <w:spacing w:line="276" w:lineRule="auto" w:before="41"/>
        <w:ind w:left="100" w:right="111"/>
        <w:jc w:val="both"/>
      </w:pPr>
      <w:r>
        <w:rPr/>
        <w:t>This analysis provides the first installment of an in-depth meta-analysis of Arizona's charter school finances as measured using a forensic accounting methodology. Consequences of the financial and governance laxity in charter schools are manifested in the data in several key areas. This report focuses on related-party transactions, high executive compensation, and questionable for-profit distributions to shareholders. This first of three policy reports also looks at reduced classroom spending, academic underperformance,</w:t>
      </w:r>
      <w:r>
        <w:rPr>
          <w:spacing w:val="-8"/>
        </w:rPr>
        <w:t> </w:t>
      </w:r>
      <w:r>
        <w:rPr/>
        <w:t>and</w:t>
      </w:r>
      <w:r>
        <w:rPr>
          <w:spacing w:val="-6"/>
        </w:rPr>
        <w:t> </w:t>
      </w:r>
      <w:r>
        <w:rPr/>
        <w:t>reconciling</w:t>
      </w:r>
      <w:r>
        <w:rPr>
          <w:spacing w:val="-7"/>
        </w:rPr>
        <w:t> </w:t>
      </w:r>
      <w:r>
        <w:rPr/>
        <w:t>inconsistent</w:t>
      </w:r>
      <w:r>
        <w:rPr>
          <w:spacing w:val="-11"/>
        </w:rPr>
        <w:t> </w:t>
      </w:r>
      <w:r>
        <w:rPr/>
        <w:t>financials.</w:t>
      </w:r>
      <w:r>
        <w:rPr>
          <w:spacing w:val="-8"/>
        </w:rPr>
        <w:t> </w:t>
      </w:r>
      <w:r>
        <w:rPr/>
        <w:t>Everything</w:t>
      </w:r>
      <w:r>
        <w:rPr>
          <w:spacing w:val="-8"/>
        </w:rPr>
        <w:t> </w:t>
      </w:r>
      <w:r>
        <w:rPr/>
        <w:t>described</w:t>
      </w:r>
      <w:r>
        <w:rPr>
          <w:spacing w:val="-6"/>
        </w:rPr>
        <w:t> </w:t>
      </w:r>
      <w:r>
        <w:rPr/>
        <w:t>in</w:t>
      </w:r>
      <w:r>
        <w:rPr>
          <w:spacing w:val="-8"/>
        </w:rPr>
        <w:t> </w:t>
      </w:r>
      <w:r>
        <w:rPr/>
        <w:t>these policy reports is legal under Arizona state law due to the lax financial oversight provided in</w:t>
      </w:r>
      <w:r>
        <w:rPr>
          <w:spacing w:val="-4"/>
        </w:rPr>
        <w:t> </w:t>
      </w:r>
      <w:r>
        <w:rPr/>
        <w:t>those</w:t>
      </w:r>
      <w:r>
        <w:rPr>
          <w:spacing w:val="-4"/>
        </w:rPr>
        <w:t> </w:t>
      </w:r>
      <w:r>
        <w:rPr/>
        <w:t>laws</w:t>
      </w:r>
      <w:r>
        <w:rPr>
          <w:spacing w:val="-4"/>
        </w:rPr>
        <w:t> </w:t>
      </w:r>
      <w:r>
        <w:rPr/>
        <w:t>through</w:t>
      </w:r>
      <w:r>
        <w:rPr>
          <w:spacing w:val="-4"/>
        </w:rPr>
        <w:t> </w:t>
      </w:r>
      <w:r>
        <w:rPr/>
        <w:t>“deregulation”</w:t>
      </w:r>
      <w:r>
        <w:rPr>
          <w:spacing w:val="-4"/>
        </w:rPr>
        <w:t> </w:t>
      </w:r>
      <w:r>
        <w:rPr/>
        <w:t>of</w:t>
      </w:r>
      <w:r>
        <w:rPr>
          <w:spacing w:val="-4"/>
        </w:rPr>
        <w:t> </w:t>
      </w:r>
      <w:r>
        <w:rPr/>
        <w:t>public</w:t>
      </w:r>
      <w:r>
        <w:rPr>
          <w:spacing w:val="-6"/>
        </w:rPr>
        <w:t> </w:t>
      </w:r>
      <w:r>
        <w:rPr/>
        <w:t>charter</w:t>
      </w:r>
      <w:r>
        <w:rPr>
          <w:spacing w:val="-35"/>
        </w:rPr>
        <w:t> </w:t>
      </w:r>
      <w:r>
        <w:rPr/>
        <w:t>schools.</w:t>
      </w:r>
    </w:p>
    <w:p>
      <w:pPr>
        <w:pStyle w:val="BodyText"/>
        <w:spacing w:line="276" w:lineRule="auto" w:before="201"/>
        <w:ind w:left="100" w:right="116"/>
        <w:jc w:val="both"/>
      </w:pPr>
      <w:r>
        <w:rPr/>
        <w:t>This report begins with a diagram featuring the “rule” differences between how District Finances and Governance differs from Charter School Finance and Governance on the following pages. I.e. the policy differences between these “competing entities”. The diagram is written in non-technical language.</w:t>
      </w:r>
    </w:p>
    <w:p>
      <w:pPr>
        <w:pStyle w:val="BodyText"/>
        <w:spacing w:line="276" w:lineRule="auto" w:before="201"/>
        <w:ind w:left="100" w:right="110"/>
        <w:jc w:val="both"/>
      </w:pPr>
      <w:r>
        <w:rPr/>
        <w:t>In</w:t>
      </w:r>
      <w:r>
        <w:rPr>
          <w:spacing w:val="-3"/>
        </w:rPr>
        <w:t> </w:t>
      </w:r>
      <w:r>
        <w:rPr/>
        <w:t>public</w:t>
      </w:r>
      <w:r>
        <w:rPr>
          <w:spacing w:val="-4"/>
        </w:rPr>
        <w:t> </w:t>
      </w:r>
      <w:r>
        <w:rPr/>
        <w:t>school</w:t>
      </w:r>
      <w:r>
        <w:rPr>
          <w:spacing w:val="-7"/>
        </w:rPr>
        <w:t> </w:t>
      </w:r>
      <w:r>
        <w:rPr/>
        <w:t>districts</w:t>
      </w:r>
      <w:r>
        <w:rPr>
          <w:spacing w:val="-4"/>
        </w:rPr>
        <w:t> </w:t>
      </w:r>
      <w:r>
        <w:rPr/>
        <w:t>the</w:t>
      </w:r>
      <w:r>
        <w:rPr>
          <w:spacing w:val="-6"/>
        </w:rPr>
        <w:t> </w:t>
      </w:r>
      <w:r>
        <w:rPr/>
        <w:t>rule</w:t>
      </w:r>
      <w:r>
        <w:rPr>
          <w:spacing w:val="-6"/>
        </w:rPr>
        <w:t> </w:t>
      </w:r>
      <w:r>
        <w:rPr/>
        <w:t>making</w:t>
      </w:r>
      <w:r>
        <w:rPr>
          <w:spacing w:val="-8"/>
        </w:rPr>
        <w:t> </w:t>
      </w:r>
      <w:r>
        <w:rPr/>
        <w:t>for</w:t>
      </w:r>
      <w:r>
        <w:rPr>
          <w:spacing w:val="-7"/>
        </w:rPr>
        <w:t> </w:t>
      </w:r>
      <w:r>
        <w:rPr/>
        <w:t>finances</w:t>
      </w:r>
      <w:r>
        <w:rPr>
          <w:spacing w:val="-4"/>
        </w:rPr>
        <w:t> </w:t>
      </w:r>
      <w:r>
        <w:rPr/>
        <w:t>and</w:t>
      </w:r>
      <w:r>
        <w:rPr>
          <w:spacing w:val="-6"/>
        </w:rPr>
        <w:t> </w:t>
      </w:r>
      <w:r>
        <w:rPr/>
        <w:t>governance</w:t>
      </w:r>
      <w:r>
        <w:rPr>
          <w:spacing w:val="2"/>
        </w:rPr>
        <w:t> </w:t>
      </w:r>
      <w:r>
        <w:rPr/>
        <w:t>is</w:t>
      </w:r>
      <w:r>
        <w:rPr>
          <w:spacing w:val="-5"/>
        </w:rPr>
        <w:t> </w:t>
      </w:r>
      <w:r>
        <w:rPr/>
        <w:t>codified</w:t>
      </w:r>
      <w:r>
        <w:rPr>
          <w:spacing w:val="-5"/>
        </w:rPr>
        <w:t> </w:t>
      </w:r>
      <w:r>
        <w:rPr/>
        <w:t>in</w:t>
      </w:r>
      <w:r>
        <w:rPr>
          <w:spacing w:val="-6"/>
        </w:rPr>
        <w:t> </w:t>
      </w:r>
      <w:r>
        <w:rPr/>
        <w:t>policy and state law. The law establishing charter schools intentionally exempted charters from these</w:t>
      </w:r>
      <w:r>
        <w:rPr>
          <w:spacing w:val="-13"/>
        </w:rPr>
        <w:t> </w:t>
      </w:r>
      <w:r>
        <w:rPr/>
        <w:t>rules.</w:t>
      </w:r>
    </w:p>
    <w:p>
      <w:pPr>
        <w:pStyle w:val="BodyText"/>
        <w:spacing w:line="276" w:lineRule="auto" w:before="195"/>
        <w:ind w:left="100" w:right="107"/>
        <w:jc w:val="both"/>
      </w:pPr>
      <w:r>
        <w:rPr/>
        <w:t>What</w:t>
      </w:r>
      <w:r>
        <w:rPr>
          <w:spacing w:val="-6"/>
        </w:rPr>
        <w:t> </w:t>
      </w:r>
      <w:r>
        <w:rPr/>
        <w:t>has</w:t>
      </w:r>
      <w:r>
        <w:rPr>
          <w:spacing w:val="-6"/>
        </w:rPr>
        <w:t> </w:t>
      </w:r>
      <w:r>
        <w:rPr>
          <w:i/>
        </w:rPr>
        <w:t>resulted</w:t>
      </w:r>
      <w:r>
        <w:rPr>
          <w:i/>
          <w:spacing w:val="-6"/>
        </w:rPr>
        <w:t> </w:t>
      </w:r>
      <w:r>
        <w:rPr/>
        <w:t>from</w:t>
      </w:r>
      <w:r>
        <w:rPr>
          <w:spacing w:val="-3"/>
        </w:rPr>
        <w:t> </w:t>
      </w:r>
      <w:r>
        <w:rPr/>
        <w:t>this</w:t>
      </w:r>
      <w:r>
        <w:rPr>
          <w:spacing w:val="-5"/>
        </w:rPr>
        <w:t> </w:t>
      </w:r>
      <w:r>
        <w:rPr/>
        <w:t>great</w:t>
      </w:r>
      <w:r>
        <w:rPr>
          <w:spacing w:val="-9"/>
        </w:rPr>
        <w:t> </w:t>
      </w:r>
      <w:r>
        <w:rPr/>
        <w:t>freedom</w:t>
      </w:r>
      <w:r>
        <w:rPr>
          <w:spacing w:val="-3"/>
        </w:rPr>
        <w:t> </w:t>
      </w:r>
      <w:r>
        <w:rPr/>
        <w:t>without</w:t>
      </w:r>
      <w:r>
        <w:rPr>
          <w:spacing w:val="-6"/>
        </w:rPr>
        <w:t> </w:t>
      </w:r>
      <w:r>
        <w:rPr/>
        <w:t>the</w:t>
      </w:r>
      <w:r>
        <w:rPr>
          <w:spacing w:val="-6"/>
        </w:rPr>
        <w:t> </w:t>
      </w:r>
      <w:r>
        <w:rPr/>
        <w:t>accompanying</w:t>
      </w:r>
      <w:r>
        <w:rPr>
          <w:spacing w:val="-5"/>
        </w:rPr>
        <w:t> </w:t>
      </w:r>
      <w:r>
        <w:rPr/>
        <w:t>great</w:t>
      </w:r>
      <w:r>
        <w:rPr>
          <w:spacing w:val="-4"/>
        </w:rPr>
        <w:t> </w:t>
      </w:r>
      <w:r>
        <w:rPr/>
        <w:t>responsibility is the subject of these policy reports. Charters (and de facto private schools) have been granted “freedom over their budgets, staffing, curricula and other operations.” </w:t>
      </w:r>
      <w:r>
        <w:rPr>
          <w:spacing w:val="5"/>
        </w:rPr>
        <w:t>We </w:t>
      </w:r>
      <w:r>
        <w:rPr/>
        <w:t>have trusted without verifying the financial and governance</w:t>
      </w:r>
      <w:r>
        <w:rPr>
          <w:spacing w:val="1"/>
        </w:rPr>
        <w:t> </w:t>
      </w:r>
      <w:r>
        <w:rPr/>
        <w:t>results.</w:t>
      </w:r>
    </w:p>
    <w:p>
      <w:pPr>
        <w:pStyle w:val="BodyText"/>
        <w:spacing w:line="276" w:lineRule="auto" w:before="200"/>
        <w:ind w:left="100" w:right="114"/>
        <w:jc w:val="both"/>
      </w:pPr>
      <w:r>
        <w:rPr/>
        <w:t>These policy reports are the result of three years of gathering data and organizing that data into a format that addresses the essential questions asked. It represents the most comprehensive</w:t>
      </w:r>
      <w:r>
        <w:rPr>
          <w:spacing w:val="-8"/>
        </w:rPr>
        <w:t> </w:t>
      </w:r>
      <w:r>
        <w:rPr/>
        <w:t>financial</w:t>
      </w:r>
      <w:r>
        <w:rPr>
          <w:spacing w:val="-6"/>
        </w:rPr>
        <w:t> </w:t>
      </w:r>
      <w:r>
        <w:rPr/>
        <w:t>data</w:t>
      </w:r>
      <w:r>
        <w:rPr>
          <w:spacing w:val="-10"/>
        </w:rPr>
        <w:t> </w:t>
      </w:r>
      <w:r>
        <w:rPr/>
        <w:t>on</w:t>
      </w:r>
      <w:r>
        <w:rPr>
          <w:spacing w:val="-10"/>
        </w:rPr>
        <w:t> </w:t>
      </w:r>
      <w:r>
        <w:rPr/>
        <w:t>Arizona’s</w:t>
      </w:r>
      <w:r>
        <w:rPr>
          <w:spacing w:val="-9"/>
        </w:rPr>
        <w:t> </w:t>
      </w:r>
      <w:r>
        <w:rPr/>
        <w:t>charter</w:t>
      </w:r>
      <w:r>
        <w:rPr>
          <w:spacing w:val="-10"/>
        </w:rPr>
        <w:t> </w:t>
      </w:r>
      <w:r>
        <w:rPr/>
        <w:t>sector,</w:t>
      </w:r>
      <w:r>
        <w:rPr>
          <w:spacing w:val="-9"/>
        </w:rPr>
        <w:t> </w:t>
      </w:r>
      <w:r>
        <w:rPr/>
        <w:t>including</w:t>
      </w:r>
      <w:r>
        <w:rPr>
          <w:spacing w:val="-12"/>
        </w:rPr>
        <w:t> </w:t>
      </w:r>
      <w:r>
        <w:rPr/>
        <w:t>AFRs,</w:t>
      </w:r>
      <w:r>
        <w:rPr>
          <w:spacing w:val="-8"/>
        </w:rPr>
        <w:t> </w:t>
      </w:r>
      <w:r>
        <w:rPr/>
        <w:t>audits,</w:t>
      </w:r>
      <w:r>
        <w:rPr>
          <w:spacing w:val="-11"/>
        </w:rPr>
        <w:t> </w:t>
      </w:r>
      <w:r>
        <w:rPr/>
        <w:t>federal 990s for nonprofits, and the ASBCS assessment of each charter holder’s</w:t>
      </w:r>
      <w:r>
        <w:rPr>
          <w:spacing w:val="-35"/>
        </w:rPr>
        <w:t> </w:t>
      </w:r>
      <w:r>
        <w:rPr/>
        <w:t>finances.</w:t>
      </w:r>
    </w:p>
    <w:p>
      <w:pPr>
        <w:pStyle w:val="BodyText"/>
        <w:spacing w:line="276" w:lineRule="auto" w:before="200"/>
        <w:ind w:left="100" w:right="118"/>
        <w:jc w:val="both"/>
      </w:pPr>
      <w:r>
        <w:rPr/>
        <w:t>School choice, which undergirds the development of both private school vouchers and public school charters, is based on the application of free market economic theories to the public sector (2017, Friedman 1984, 1993, Friedman and Friedman 2002, Friedman</w:t>
      </w:r>
    </w:p>
    <w:p>
      <w:pPr>
        <w:pStyle w:val="BodyText"/>
        <w:spacing w:before="2"/>
        <w:ind w:left="100"/>
        <w:jc w:val="both"/>
      </w:pPr>
      <w:r>
        <w:rPr/>
        <w:t>and</w:t>
      </w:r>
      <w:r>
        <w:rPr>
          <w:spacing w:val="-14"/>
        </w:rPr>
        <w:t> </w:t>
      </w:r>
      <w:r>
        <w:rPr/>
        <w:t>Selden</w:t>
      </w:r>
      <w:r>
        <w:rPr>
          <w:spacing w:val="-14"/>
        </w:rPr>
        <w:t> </w:t>
      </w:r>
      <w:r>
        <w:rPr/>
        <w:t>1975,</w:t>
      </w:r>
      <w:r>
        <w:rPr>
          <w:spacing w:val="-14"/>
        </w:rPr>
        <w:t> </w:t>
      </w:r>
      <w:r>
        <w:rPr/>
        <w:t>Friedman</w:t>
      </w:r>
      <w:r>
        <w:rPr>
          <w:spacing w:val="-14"/>
        </w:rPr>
        <w:t> </w:t>
      </w:r>
      <w:r>
        <w:rPr/>
        <w:t>and</w:t>
      </w:r>
      <w:r>
        <w:rPr>
          <w:spacing w:val="-14"/>
        </w:rPr>
        <w:t> </w:t>
      </w:r>
      <w:r>
        <w:rPr/>
        <w:t>Randolph</w:t>
      </w:r>
      <w:r>
        <w:rPr>
          <w:spacing w:val="-14"/>
        </w:rPr>
        <w:t> </w:t>
      </w:r>
      <w:r>
        <w:rPr/>
        <w:t>2004,</w:t>
      </w:r>
      <w:r>
        <w:rPr>
          <w:spacing w:val="-14"/>
        </w:rPr>
        <w:t> </w:t>
      </w:r>
      <w:r>
        <w:rPr/>
        <w:t>Friedman</w:t>
      </w:r>
      <w:r>
        <w:rPr>
          <w:spacing w:val="-14"/>
        </w:rPr>
        <w:t> </w:t>
      </w:r>
      <w:r>
        <w:rPr/>
        <w:t>and</w:t>
      </w:r>
      <w:r>
        <w:rPr>
          <w:spacing w:val="-14"/>
        </w:rPr>
        <w:t> </w:t>
      </w:r>
      <w:r>
        <w:rPr/>
        <w:t>Smith</w:t>
      </w:r>
      <w:r>
        <w:rPr>
          <w:spacing w:val="-14"/>
        </w:rPr>
        <w:t> </w:t>
      </w:r>
      <w:r>
        <w:rPr/>
        <w:t>2005,</w:t>
      </w:r>
      <w:r>
        <w:rPr>
          <w:spacing w:val="-14"/>
        </w:rPr>
        <w:t> </w:t>
      </w:r>
      <w:r>
        <w:rPr/>
        <w:t>Hayek</w:t>
      </w:r>
      <w:r>
        <w:rPr>
          <w:spacing w:val="-15"/>
        </w:rPr>
        <w:t> </w:t>
      </w:r>
      <w:r>
        <w:rPr/>
        <w:t>1939,</w:t>
      </w:r>
    </w:p>
    <w:p>
      <w:pPr>
        <w:pStyle w:val="BodyText"/>
        <w:spacing w:line="276" w:lineRule="auto" w:before="40"/>
        <w:ind w:left="100" w:right="112"/>
        <w:jc w:val="both"/>
      </w:pPr>
      <w:r>
        <w:rPr/>
        <w:t>1976, 1979, 2013, Hayek and Bartley 1988). A thorough re-reading of the economics theories driving the charter and privatization movement has been a part of the process leading to this study. Proponents argue that competition leads to an improvement in outcomes and critics have concerns that public district schools will be financially compromised, hurting their students.</w:t>
      </w:r>
    </w:p>
    <w:p>
      <w:pPr>
        <w:pStyle w:val="BodyText"/>
        <w:spacing w:line="278" w:lineRule="auto" w:before="199"/>
        <w:ind w:left="100" w:right="112"/>
        <w:jc w:val="both"/>
      </w:pPr>
      <w:r>
        <w:rPr/>
        <w:t>School choice has become the dominant educational paradigm in Arizona. Normally choice proponents argue that choice must by necessity lead to students moving to  better academic environments. Likewise, school choice is supposed to lead to a</w:t>
      </w:r>
      <w:r>
        <w:rPr>
          <w:spacing w:val="-32"/>
        </w:rPr>
        <w:t> </w:t>
      </w:r>
      <w:r>
        <w:rPr/>
        <w:t>more</w:t>
      </w:r>
    </w:p>
    <w:p>
      <w:pPr>
        <w:spacing w:after="0" w:line="278" w:lineRule="auto"/>
        <w:jc w:val="both"/>
        <w:sectPr>
          <w:pgSz w:w="12240" w:h="15840"/>
          <w:pgMar w:header="740" w:footer="1002" w:top="940" w:bottom="1200" w:left="1340" w:right="1320"/>
        </w:sectPr>
      </w:pPr>
    </w:p>
    <w:p>
      <w:pPr>
        <w:pStyle w:val="BodyText"/>
        <w:rPr>
          <w:sz w:val="20"/>
        </w:rPr>
      </w:pPr>
    </w:p>
    <w:p>
      <w:pPr>
        <w:pStyle w:val="BodyText"/>
        <w:spacing w:before="3"/>
        <w:rPr>
          <w:sz w:val="23"/>
        </w:rPr>
      </w:pPr>
    </w:p>
    <w:p>
      <w:pPr>
        <w:pStyle w:val="BodyText"/>
        <w:spacing w:before="1"/>
        <w:ind w:left="100"/>
        <w:jc w:val="both"/>
      </w:pPr>
      <w:r>
        <w:rPr/>
        <w:t>efficient use of resources in the attainment of those better outcomes.</w:t>
      </w:r>
    </w:p>
    <w:p>
      <w:pPr>
        <w:pStyle w:val="BodyText"/>
        <w:spacing w:before="3"/>
        <w:rPr>
          <w:sz w:val="21"/>
        </w:rPr>
      </w:pPr>
    </w:p>
    <w:p>
      <w:pPr>
        <w:pStyle w:val="BodyText"/>
        <w:spacing w:line="276" w:lineRule="auto"/>
        <w:ind w:left="100" w:right="249" w:hanging="135"/>
        <w:jc w:val="center"/>
      </w:pPr>
      <w:r>
        <w:rPr/>
        <w:t>These reports look at how that theory of action has played out in reality during 20 plus years of charter schools in Arizona. While some charters perform well in Arizona and fit</w:t>
      </w:r>
    </w:p>
    <w:p>
      <w:pPr>
        <w:pStyle w:val="BodyText"/>
        <w:spacing w:before="11"/>
        <w:rPr>
          <w:sz w:val="17"/>
        </w:rPr>
      </w:pPr>
      <w:r>
        <w:rPr/>
        <w:pict>
          <v:group style="position:absolute;margin-left:141.925003pt;margin-top:12.285153pt;width:327.75pt;height:.75pt;mso-position-horizontal-relative:page;mso-position-vertical-relative:paragraph;z-index:1216;mso-wrap-distance-left:0;mso-wrap-distance-right:0" coordorigin="2839,246" coordsize="6555,15">
            <v:line style="position:absolute" from="2846,253" to="9386,253" stroked="true" strokeweight=".72pt" strokecolor="#4f81bc">
              <v:stroke dashstyle="solid"/>
            </v:line>
            <v:line style="position:absolute" from="9389,246" to="9389,260" stroked="true" strokeweight=".25pt" strokecolor="#4f81bc">
              <v:stroke dashstyle="solid"/>
            </v:line>
            <w10:wrap type="topAndBottom"/>
          </v:group>
        </w:pict>
      </w:r>
    </w:p>
    <w:p>
      <w:pPr>
        <w:spacing w:line="240" w:lineRule="auto" w:before="139"/>
        <w:ind w:left="1861" w:right="1886" w:firstLine="1"/>
        <w:jc w:val="center"/>
        <w:rPr>
          <w:rFonts w:ascii="Calibri"/>
          <w:i/>
          <w:sz w:val="24"/>
        </w:rPr>
      </w:pPr>
      <w:r>
        <w:rPr>
          <w:rFonts w:ascii="Calibri"/>
          <w:i/>
          <w:sz w:val="24"/>
        </w:rPr>
        <w:t>This study finds that with lax financial regulation, resources </w:t>
      </w:r>
      <w:r>
        <w:rPr>
          <w:rFonts w:ascii="Calibri"/>
          <w:i/>
          <w:sz w:val="24"/>
        </w:rPr>
        <w:t>are often used for self-enrichment of charter holders and executives instead of educating children. A lack of transparency makes this information inaccessible to</w:t>
      </w:r>
      <w:r>
        <w:rPr>
          <w:rFonts w:ascii="Calibri"/>
          <w:i/>
          <w:spacing w:val="-25"/>
          <w:sz w:val="24"/>
        </w:rPr>
        <w:t> </w:t>
      </w:r>
      <w:r>
        <w:rPr>
          <w:rFonts w:ascii="Calibri"/>
          <w:i/>
          <w:sz w:val="24"/>
        </w:rPr>
        <w:t>parents and the taxpaying</w:t>
      </w:r>
      <w:r>
        <w:rPr>
          <w:rFonts w:ascii="Calibri"/>
          <w:i/>
          <w:spacing w:val="-8"/>
          <w:sz w:val="24"/>
        </w:rPr>
        <w:t> </w:t>
      </w:r>
      <w:r>
        <w:rPr>
          <w:rFonts w:ascii="Calibri"/>
          <w:i/>
          <w:sz w:val="24"/>
        </w:rPr>
        <w:t>public.</w:t>
      </w:r>
    </w:p>
    <w:p>
      <w:pPr>
        <w:pStyle w:val="BodyText"/>
        <w:spacing w:before="3"/>
        <w:rPr>
          <w:rFonts w:ascii="Calibri"/>
          <w:i/>
          <w:sz w:val="13"/>
        </w:rPr>
      </w:pPr>
      <w:r>
        <w:rPr/>
        <w:pict>
          <v:group style="position:absolute;margin-left:141.925003pt;margin-top:10.043103pt;width:327.75pt;height:.75pt;mso-position-horizontal-relative:page;mso-position-vertical-relative:paragraph;z-index:1240;mso-wrap-distance-left:0;mso-wrap-distance-right:0" coordorigin="2839,201" coordsize="6555,15">
            <v:line style="position:absolute" from="2846,208" to="9386,208" stroked="true" strokeweight=".72pt" strokecolor="#4f81bc">
              <v:stroke dashstyle="solid"/>
            </v:line>
            <v:line style="position:absolute" from="9389,201" to="9389,216" stroked="true" strokeweight=".25pt" strokecolor="#4f81bc">
              <v:stroke dashstyle="solid"/>
            </v:line>
            <w10:wrap type="topAndBottom"/>
          </v:group>
        </w:pict>
      </w:r>
    </w:p>
    <w:p>
      <w:pPr>
        <w:pStyle w:val="BodyText"/>
        <w:spacing w:before="10"/>
        <w:rPr>
          <w:rFonts w:ascii="Calibri"/>
          <w:i/>
          <w:sz w:val="25"/>
        </w:rPr>
      </w:pPr>
    </w:p>
    <w:p>
      <w:pPr>
        <w:pStyle w:val="BodyText"/>
        <w:spacing w:line="276" w:lineRule="auto"/>
        <w:ind w:left="100" w:right="107"/>
        <w:jc w:val="both"/>
      </w:pPr>
      <w:r>
        <w:rPr/>
        <w:t>that academic model, as a whole, students who attend charter schools do no better and often</w:t>
      </w:r>
      <w:r>
        <w:rPr>
          <w:spacing w:val="-13"/>
        </w:rPr>
        <w:t> </w:t>
      </w:r>
      <w:r>
        <w:rPr/>
        <w:t>do</w:t>
      </w:r>
      <w:r>
        <w:rPr>
          <w:spacing w:val="-13"/>
        </w:rPr>
        <w:t> </w:t>
      </w:r>
      <w:r>
        <w:rPr/>
        <w:t>worse</w:t>
      </w:r>
      <w:r>
        <w:rPr>
          <w:spacing w:val="-14"/>
        </w:rPr>
        <w:t> </w:t>
      </w:r>
      <w:r>
        <w:rPr/>
        <w:t>than</w:t>
      </w:r>
      <w:r>
        <w:rPr>
          <w:spacing w:val="-13"/>
        </w:rPr>
        <w:t> </w:t>
      </w:r>
      <w:r>
        <w:rPr/>
        <w:t>equivalent</w:t>
      </w:r>
      <w:r>
        <w:rPr>
          <w:spacing w:val="-13"/>
        </w:rPr>
        <w:t> </w:t>
      </w:r>
      <w:r>
        <w:rPr/>
        <w:t>students</w:t>
      </w:r>
      <w:r>
        <w:rPr>
          <w:spacing w:val="-13"/>
        </w:rPr>
        <w:t> </w:t>
      </w:r>
      <w:r>
        <w:rPr/>
        <w:t>in</w:t>
      </w:r>
      <w:r>
        <w:rPr>
          <w:spacing w:val="-16"/>
        </w:rPr>
        <w:t> </w:t>
      </w:r>
      <w:r>
        <w:rPr/>
        <w:t>public</w:t>
      </w:r>
      <w:r>
        <w:rPr>
          <w:spacing w:val="-14"/>
        </w:rPr>
        <w:t> </w:t>
      </w:r>
      <w:r>
        <w:rPr/>
        <w:t>district</w:t>
      </w:r>
      <w:r>
        <w:rPr>
          <w:spacing w:val="-13"/>
        </w:rPr>
        <w:t> </w:t>
      </w:r>
      <w:r>
        <w:rPr/>
        <w:t>schools.</w:t>
      </w:r>
      <w:r>
        <w:rPr>
          <w:spacing w:val="-14"/>
        </w:rPr>
        <w:t> </w:t>
      </w:r>
      <w:r>
        <w:rPr/>
        <w:t>Likewise,</w:t>
      </w:r>
      <w:r>
        <w:rPr>
          <w:spacing w:val="-13"/>
        </w:rPr>
        <w:t> </w:t>
      </w:r>
      <w:r>
        <w:rPr/>
        <w:t>this</w:t>
      </w:r>
      <w:r>
        <w:rPr>
          <w:spacing w:val="-16"/>
        </w:rPr>
        <w:t> </w:t>
      </w:r>
      <w:r>
        <w:rPr/>
        <w:t>first</w:t>
      </w:r>
      <w:r>
        <w:rPr>
          <w:spacing w:val="-13"/>
        </w:rPr>
        <w:t> </w:t>
      </w:r>
      <w:r>
        <w:rPr/>
        <w:t>policy report</w:t>
      </w:r>
      <w:r>
        <w:rPr>
          <w:spacing w:val="-16"/>
        </w:rPr>
        <w:t> </w:t>
      </w:r>
      <w:r>
        <w:rPr/>
        <w:t>finds</w:t>
      </w:r>
      <w:r>
        <w:rPr>
          <w:spacing w:val="-13"/>
        </w:rPr>
        <w:t> </w:t>
      </w:r>
      <w:r>
        <w:rPr/>
        <w:t>that</w:t>
      </w:r>
      <w:r>
        <w:rPr>
          <w:spacing w:val="-12"/>
        </w:rPr>
        <w:t> </w:t>
      </w:r>
      <w:r>
        <w:rPr/>
        <w:t>with</w:t>
      </w:r>
      <w:r>
        <w:rPr>
          <w:spacing w:val="-12"/>
        </w:rPr>
        <w:t> </w:t>
      </w:r>
      <w:r>
        <w:rPr/>
        <w:t>lax</w:t>
      </w:r>
      <w:r>
        <w:rPr>
          <w:spacing w:val="-15"/>
        </w:rPr>
        <w:t> </w:t>
      </w:r>
      <w:r>
        <w:rPr/>
        <w:t>financial</w:t>
      </w:r>
      <w:r>
        <w:rPr>
          <w:spacing w:val="-13"/>
        </w:rPr>
        <w:t> </w:t>
      </w:r>
      <w:r>
        <w:rPr/>
        <w:t>regulation,</w:t>
      </w:r>
      <w:r>
        <w:rPr>
          <w:spacing w:val="-12"/>
        </w:rPr>
        <w:t> </w:t>
      </w:r>
      <w:r>
        <w:rPr/>
        <w:t>resources</w:t>
      </w:r>
      <w:r>
        <w:rPr>
          <w:spacing w:val="-13"/>
        </w:rPr>
        <w:t> </w:t>
      </w:r>
      <w:r>
        <w:rPr/>
        <w:t>are</w:t>
      </w:r>
      <w:r>
        <w:rPr>
          <w:spacing w:val="-12"/>
        </w:rPr>
        <w:t> </w:t>
      </w:r>
      <w:r>
        <w:rPr/>
        <w:t>often</w:t>
      </w:r>
      <w:r>
        <w:rPr>
          <w:spacing w:val="-12"/>
        </w:rPr>
        <w:t> </w:t>
      </w:r>
      <w:r>
        <w:rPr/>
        <w:t>used</w:t>
      </w:r>
      <w:r>
        <w:rPr>
          <w:spacing w:val="-12"/>
        </w:rPr>
        <w:t> </w:t>
      </w:r>
      <w:r>
        <w:rPr/>
        <w:t>for</w:t>
      </w:r>
      <w:r>
        <w:rPr>
          <w:spacing w:val="-14"/>
        </w:rPr>
        <w:t> </w:t>
      </w:r>
      <w:r>
        <w:rPr/>
        <w:t>self-</w:t>
      </w:r>
      <w:r>
        <w:rPr>
          <w:spacing w:val="-14"/>
        </w:rPr>
        <w:t> </w:t>
      </w:r>
      <w:r>
        <w:rPr/>
        <w:t>enrichment of</w:t>
      </w:r>
      <w:r>
        <w:rPr>
          <w:spacing w:val="-14"/>
        </w:rPr>
        <w:t> </w:t>
      </w:r>
      <w:r>
        <w:rPr/>
        <w:t>charter</w:t>
      </w:r>
      <w:r>
        <w:rPr>
          <w:spacing w:val="-17"/>
        </w:rPr>
        <w:t> </w:t>
      </w:r>
      <w:r>
        <w:rPr/>
        <w:t>holders</w:t>
      </w:r>
      <w:r>
        <w:rPr>
          <w:spacing w:val="-17"/>
        </w:rPr>
        <w:t> </w:t>
      </w:r>
      <w:r>
        <w:rPr/>
        <w:t>and</w:t>
      </w:r>
      <w:r>
        <w:rPr>
          <w:spacing w:val="-16"/>
        </w:rPr>
        <w:t> </w:t>
      </w:r>
      <w:r>
        <w:rPr/>
        <w:t>executives</w:t>
      </w:r>
      <w:r>
        <w:rPr>
          <w:spacing w:val="-16"/>
        </w:rPr>
        <w:t> </w:t>
      </w:r>
      <w:r>
        <w:rPr/>
        <w:t>instead</w:t>
      </w:r>
      <w:r>
        <w:rPr>
          <w:spacing w:val="-16"/>
        </w:rPr>
        <w:t> </w:t>
      </w:r>
      <w:r>
        <w:rPr/>
        <w:t>of</w:t>
      </w:r>
      <w:r>
        <w:rPr>
          <w:spacing w:val="-14"/>
        </w:rPr>
        <w:t> </w:t>
      </w:r>
      <w:r>
        <w:rPr/>
        <w:t>educating</w:t>
      </w:r>
      <w:r>
        <w:rPr>
          <w:spacing w:val="-18"/>
        </w:rPr>
        <w:t> </w:t>
      </w:r>
      <w:r>
        <w:rPr/>
        <w:t>children,</w:t>
      </w:r>
      <w:r>
        <w:rPr>
          <w:spacing w:val="-16"/>
        </w:rPr>
        <w:t> </w:t>
      </w:r>
      <w:r>
        <w:rPr/>
        <w:t>but</w:t>
      </w:r>
      <w:r>
        <w:rPr>
          <w:spacing w:val="-16"/>
        </w:rPr>
        <w:t> </w:t>
      </w:r>
      <w:r>
        <w:rPr/>
        <w:t>a</w:t>
      </w:r>
      <w:r>
        <w:rPr>
          <w:spacing w:val="-18"/>
        </w:rPr>
        <w:t> </w:t>
      </w:r>
      <w:r>
        <w:rPr/>
        <w:t>lack</w:t>
      </w:r>
      <w:r>
        <w:rPr>
          <w:spacing w:val="-16"/>
        </w:rPr>
        <w:t> </w:t>
      </w:r>
      <w:r>
        <w:rPr/>
        <w:t>of</w:t>
      </w:r>
      <w:r>
        <w:rPr>
          <w:spacing w:val="-14"/>
        </w:rPr>
        <w:t> </w:t>
      </w:r>
      <w:r>
        <w:rPr/>
        <w:t>transparency makes this information inaccessible to parents and</w:t>
      </w:r>
      <w:r>
        <w:rPr>
          <w:spacing w:val="-20"/>
        </w:rPr>
        <w:t> </w:t>
      </w:r>
      <w:r>
        <w:rPr/>
        <w:t>taxpayers.</w:t>
      </w:r>
    </w:p>
    <w:p>
      <w:pPr>
        <w:pStyle w:val="BodyText"/>
        <w:spacing w:line="276" w:lineRule="auto" w:before="199"/>
        <w:ind w:left="100" w:right="107"/>
        <w:jc w:val="both"/>
      </w:pPr>
      <w:r>
        <w:rPr/>
        <w:t>The research practitioner, an early supporter of charter schools, used lived experience along with educational experience in the business, public district school and charter school</w:t>
      </w:r>
      <w:r>
        <w:rPr>
          <w:spacing w:val="-21"/>
        </w:rPr>
        <w:t> </w:t>
      </w:r>
      <w:r>
        <w:rPr/>
        <w:t>finances</w:t>
      </w:r>
      <w:r>
        <w:rPr>
          <w:spacing w:val="-18"/>
        </w:rPr>
        <w:t> </w:t>
      </w:r>
      <w:r>
        <w:rPr/>
        <w:t>and</w:t>
      </w:r>
      <w:r>
        <w:rPr>
          <w:spacing w:val="-18"/>
        </w:rPr>
        <w:t> </w:t>
      </w:r>
      <w:r>
        <w:rPr/>
        <w:t>governance.</w:t>
      </w:r>
      <w:r>
        <w:rPr>
          <w:spacing w:val="-18"/>
        </w:rPr>
        <w:t> </w:t>
      </w:r>
      <w:r>
        <w:rPr/>
        <w:t>An</w:t>
      </w:r>
      <w:r>
        <w:rPr>
          <w:spacing w:val="-18"/>
        </w:rPr>
        <w:t> </w:t>
      </w:r>
      <w:r>
        <w:rPr/>
        <w:t>expertise</w:t>
      </w:r>
      <w:r>
        <w:rPr>
          <w:spacing w:val="-20"/>
        </w:rPr>
        <w:t> </w:t>
      </w:r>
      <w:r>
        <w:rPr/>
        <w:t>in</w:t>
      </w:r>
      <w:r>
        <w:rPr>
          <w:spacing w:val="-18"/>
        </w:rPr>
        <w:t> </w:t>
      </w:r>
      <w:r>
        <w:rPr/>
        <w:t>organizational</w:t>
      </w:r>
      <w:r>
        <w:rPr>
          <w:spacing w:val="-21"/>
        </w:rPr>
        <w:t> </w:t>
      </w:r>
      <w:r>
        <w:rPr/>
        <w:t>management,</w:t>
      </w:r>
      <w:r>
        <w:rPr>
          <w:spacing w:val="-11"/>
        </w:rPr>
        <w:t> </w:t>
      </w:r>
      <w:r>
        <w:rPr/>
        <w:t>school</w:t>
      </w:r>
      <w:r>
        <w:rPr>
          <w:spacing w:val="-19"/>
        </w:rPr>
        <w:t> </w:t>
      </w:r>
      <w:r>
        <w:rPr/>
        <w:t>law, finance,</w:t>
      </w:r>
      <w:r>
        <w:rPr>
          <w:spacing w:val="-7"/>
        </w:rPr>
        <w:t> </w:t>
      </w:r>
      <w:r>
        <w:rPr/>
        <w:t>and</w:t>
      </w:r>
      <w:r>
        <w:rPr>
          <w:spacing w:val="-7"/>
        </w:rPr>
        <w:t> </w:t>
      </w:r>
      <w:r>
        <w:rPr/>
        <w:t>leadership</w:t>
      </w:r>
      <w:r>
        <w:rPr>
          <w:spacing w:val="-7"/>
        </w:rPr>
        <w:t> </w:t>
      </w:r>
      <w:r>
        <w:rPr/>
        <w:t>and</w:t>
      </w:r>
      <w:r>
        <w:rPr>
          <w:spacing w:val="-7"/>
        </w:rPr>
        <w:t> </w:t>
      </w:r>
      <w:r>
        <w:rPr/>
        <w:t>change</w:t>
      </w:r>
      <w:r>
        <w:rPr>
          <w:spacing w:val="-7"/>
        </w:rPr>
        <w:t> </w:t>
      </w:r>
      <w:r>
        <w:rPr/>
        <w:t>informed</w:t>
      </w:r>
      <w:r>
        <w:rPr>
          <w:spacing w:val="-9"/>
        </w:rPr>
        <w:t> </w:t>
      </w:r>
      <w:r>
        <w:rPr/>
        <w:t>the</w:t>
      </w:r>
      <w:r>
        <w:rPr>
          <w:spacing w:val="-7"/>
        </w:rPr>
        <w:t> </w:t>
      </w:r>
      <w:r>
        <w:rPr/>
        <w:t>study.</w:t>
      </w:r>
      <w:r>
        <w:rPr>
          <w:spacing w:val="-7"/>
        </w:rPr>
        <w:t> </w:t>
      </w:r>
      <w:r>
        <w:rPr/>
        <w:t>A</w:t>
      </w:r>
      <w:r>
        <w:rPr>
          <w:spacing w:val="-7"/>
        </w:rPr>
        <w:t> </w:t>
      </w:r>
      <w:r>
        <w:rPr/>
        <w:t>period</w:t>
      </w:r>
      <w:r>
        <w:rPr>
          <w:spacing w:val="-9"/>
        </w:rPr>
        <w:t> </w:t>
      </w:r>
      <w:r>
        <w:rPr/>
        <w:t>of</w:t>
      </w:r>
      <w:r>
        <w:rPr>
          <w:spacing w:val="-5"/>
        </w:rPr>
        <w:t> </w:t>
      </w:r>
      <w:r>
        <w:rPr/>
        <w:t>three</w:t>
      </w:r>
      <w:r>
        <w:rPr>
          <w:spacing w:val="-7"/>
        </w:rPr>
        <w:t> </w:t>
      </w:r>
      <w:r>
        <w:rPr/>
        <w:t>years</w:t>
      </w:r>
      <w:r>
        <w:rPr>
          <w:spacing w:val="-8"/>
        </w:rPr>
        <w:t> </w:t>
      </w:r>
      <w:r>
        <w:rPr/>
        <w:t>went</w:t>
      </w:r>
      <w:r>
        <w:rPr>
          <w:spacing w:val="-7"/>
        </w:rPr>
        <w:t> </w:t>
      </w:r>
      <w:r>
        <w:rPr/>
        <w:t>into the gathering of data for this</w:t>
      </w:r>
      <w:r>
        <w:rPr>
          <w:spacing w:val="-13"/>
        </w:rPr>
        <w:t> </w:t>
      </w:r>
      <w:r>
        <w:rPr/>
        <w:t>effort.</w:t>
      </w:r>
    </w:p>
    <w:p>
      <w:pPr>
        <w:pStyle w:val="BodyText"/>
        <w:spacing w:line="276" w:lineRule="auto" w:before="204"/>
        <w:ind w:left="100" w:right="114"/>
        <w:jc w:val="both"/>
      </w:pPr>
      <w:r>
        <w:rPr/>
        <w:t>This policy report and upcoming subsequent follow up policy reports were not written to call</w:t>
      </w:r>
      <w:r>
        <w:rPr>
          <w:spacing w:val="-10"/>
        </w:rPr>
        <w:t> </w:t>
      </w:r>
      <w:r>
        <w:rPr/>
        <w:t>for</w:t>
      </w:r>
      <w:r>
        <w:rPr>
          <w:spacing w:val="-10"/>
        </w:rPr>
        <w:t> </w:t>
      </w:r>
      <w:r>
        <w:rPr/>
        <w:t>an</w:t>
      </w:r>
      <w:r>
        <w:rPr>
          <w:spacing w:val="-11"/>
        </w:rPr>
        <w:t> </w:t>
      </w:r>
      <w:r>
        <w:rPr/>
        <w:t>end</w:t>
      </w:r>
      <w:r>
        <w:rPr>
          <w:spacing w:val="-11"/>
        </w:rPr>
        <w:t> </w:t>
      </w:r>
      <w:r>
        <w:rPr/>
        <w:t>to</w:t>
      </w:r>
      <w:r>
        <w:rPr>
          <w:spacing w:val="-8"/>
        </w:rPr>
        <w:t> </w:t>
      </w:r>
      <w:r>
        <w:rPr/>
        <w:t>charter</w:t>
      </w:r>
      <w:r>
        <w:rPr>
          <w:spacing w:val="-8"/>
        </w:rPr>
        <w:t> </w:t>
      </w:r>
      <w:r>
        <w:rPr/>
        <w:t>schools.</w:t>
      </w:r>
      <w:r>
        <w:rPr>
          <w:spacing w:val="-12"/>
        </w:rPr>
        <w:t> </w:t>
      </w:r>
      <w:r>
        <w:rPr/>
        <w:t>The</w:t>
      </w:r>
      <w:r>
        <w:rPr>
          <w:spacing w:val="-11"/>
        </w:rPr>
        <w:t> </w:t>
      </w:r>
      <w:r>
        <w:rPr/>
        <w:t>opposite</w:t>
      </w:r>
      <w:r>
        <w:rPr>
          <w:spacing w:val="-8"/>
        </w:rPr>
        <w:t> </w:t>
      </w:r>
      <w:r>
        <w:rPr/>
        <w:t>is</w:t>
      </w:r>
      <w:r>
        <w:rPr>
          <w:spacing w:val="-10"/>
        </w:rPr>
        <w:t> </w:t>
      </w:r>
      <w:r>
        <w:rPr/>
        <w:t>true.</w:t>
      </w:r>
      <w:r>
        <w:rPr>
          <w:spacing w:val="-13"/>
        </w:rPr>
        <w:t> </w:t>
      </w:r>
      <w:r>
        <w:rPr/>
        <w:t>The</w:t>
      </w:r>
      <w:r>
        <w:rPr>
          <w:spacing w:val="-8"/>
        </w:rPr>
        <w:t> </w:t>
      </w:r>
      <w:r>
        <w:rPr/>
        <w:t>writer</w:t>
      </w:r>
      <w:r>
        <w:rPr>
          <w:spacing w:val="-10"/>
        </w:rPr>
        <w:t> </w:t>
      </w:r>
      <w:r>
        <w:rPr/>
        <w:t>founded</w:t>
      </w:r>
      <w:r>
        <w:rPr>
          <w:spacing w:val="-8"/>
        </w:rPr>
        <w:t> </w:t>
      </w:r>
      <w:r>
        <w:rPr/>
        <w:t>public</w:t>
      </w:r>
      <w:r>
        <w:rPr>
          <w:spacing w:val="-9"/>
        </w:rPr>
        <w:t> </w:t>
      </w:r>
      <w:r>
        <w:rPr/>
        <w:t>charters in</w:t>
      </w:r>
      <w:r>
        <w:rPr>
          <w:spacing w:val="-6"/>
        </w:rPr>
        <w:t> </w:t>
      </w:r>
      <w:r>
        <w:rPr/>
        <w:t>New</w:t>
      </w:r>
      <w:r>
        <w:rPr>
          <w:spacing w:val="-9"/>
        </w:rPr>
        <w:t> </w:t>
      </w:r>
      <w:r>
        <w:rPr/>
        <w:t>Hampshire.</w:t>
      </w:r>
      <w:r>
        <w:rPr>
          <w:spacing w:val="-9"/>
        </w:rPr>
        <w:t> </w:t>
      </w:r>
      <w:r>
        <w:rPr/>
        <w:t>Those</w:t>
      </w:r>
      <w:r>
        <w:rPr>
          <w:spacing w:val="-6"/>
        </w:rPr>
        <w:t> </w:t>
      </w:r>
      <w:r>
        <w:rPr/>
        <w:t>schools</w:t>
      </w:r>
      <w:r>
        <w:rPr>
          <w:spacing w:val="-10"/>
        </w:rPr>
        <w:t> </w:t>
      </w:r>
      <w:r>
        <w:rPr/>
        <w:t>are</w:t>
      </w:r>
      <w:r>
        <w:rPr>
          <w:spacing w:val="-7"/>
        </w:rPr>
        <w:t> </w:t>
      </w:r>
      <w:r>
        <w:rPr/>
        <w:t>still</w:t>
      </w:r>
      <w:r>
        <w:rPr>
          <w:spacing w:val="-8"/>
        </w:rPr>
        <w:t> </w:t>
      </w:r>
      <w:r>
        <w:rPr/>
        <w:t>in</w:t>
      </w:r>
      <w:r>
        <w:rPr>
          <w:spacing w:val="-11"/>
        </w:rPr>
        <w:t> </w:t>
      </w:r>
      <w:r>
        <w:rPr/>
        <w:t>operation</w:t>
      </w:r>
      <w:r>
        <w:rPr>
          <w:spacing w:val="-8"/>
        </w:rPr>
        <w:t> </w:t>
      </w:r>
      <w:r>
        <w:rPr/>
        <w:t>and</w:t>
      </w:r>
      <w:r>
        <w:rPr>
          <w:spacing w:val="-8"/>
        </w:rPr>
        <w:t> </w:t>
      </w:r>
      <w:r>
        <w:rPr/>
        <w:t>thriving.</w:t>
      </w:r>
      <w:r>
        <w:rPr>
          <w:spacing w:val="-6"/>
        </w:rPr>
        <w:t> </w:t>
      </w:r>
      <w:r>
        <w:rPr/>
        <w:t>They</w:t>
      </w:r>
      <w:r>
        <w:rPr>
          <w:spacing w:val="-9"/>
        </w:rPr>
        <w:t> </w:t>
      </w:r>
      <w:r>
        <w:rPr/>
        <w:t>cost</w:t>
      </w:r>
      <w:r>
        <w:rPr>
          <w:spacing w:val="-6"/>
        </w:rPr>
        <w:t> </w:t>
      </w:r>
      <w:r>
        <w:rPr/>
        <w:t>less</w:t>
      </w:r>
      <w:r>
        <w:rPr>
          <w:spacing w:val="-9"/>
        </w:rPr>
        <w:t> </w:t>
      </w:r>
      <w:r>
        <w:rPr/>
        <w:t>to</w:t>
      </w:r>
      <w:r>
        <w:rPr>
          <w:spacing w:val="-6"/>
        </w:rPr>
        <w:t> </w:t>
      </w:r>
      <w:r>
        <w:rPr/>
        <w:t>run and</w:t>
      </w:r>
      <w:r>
        <w:rPr>
          <w:spacing w:val="-6"/>
        </w:rPr>
        <w:t> </w:t>
      </w:r>
      <w:r>
        <w:rPr/>
        <w:t>are</w:t>
      </w:r>
      <w:r>
        <w:rPr>
          <w:spacing w:val="-4"/>
        </w:rPr>
        <w:t> </w:t>
      </w:r>
      <w:r>
        <w:rPr/>
        <w:t>locally</w:t>
      </w:r>
      <w:r>
        <w:rPr>
          <w:spacing w:val="-7"/>
        </w:rPr>
        <w:t> </w:t>
      </w:r>
      <w:r>
        <w:rPr/>
        <w:t>controlled.</w:t>
      </w:r>
      <w:r>
        <w:rPr>
          <w:spacing w:val="-4"/>
        </w:rPr>
        <w:t> </w:t>
      </w:r>
      <w:r>
        <w:rPr/>
        <w:t>Charters</w:t>
      </w:r>
      <w:r>
        <w:rPr>
          <w:spacing w:val="-5"/>
        </w:rPr>
        <w:t> </w:t>
      </w:r>
      <w:r>
        <w:rPr/>
        <w:t>can</w:t>
      </w:r>
      <w:r>
        <w:rPr>
          <w:spacing w:val="-6"/>
        </w:rPr>
        <w:t> </w:t>
      </w:r>
      <w:r>
        <w:rPr/>
        <w:t>be</w:t>
      </w:r>
      <w:r>
        <w:rPr>
          <w:spacing w:val="-6"/>
        </w:rPr>
        <w:t> </w:t>
      </w:r>
      <w:r>
        <w:rPr/>
        <w:t>a</w:t>
      </w:r>
      <w:r>
        <w:rPr>
          <w:spacing w:val="-6"/>
        </w:rPr>
        <w:t> </w:t>
      </w:r>
      <w:r>
        <w:rPr/>
        <w:t>viable</w:t>
      </w:r>
      <w:r>
        <w:rPr>
          <w:spacing w:val="-4"/>
        </w:rPr>
        <w:t> </w:t>
      </w:r>
      <w:r>
        <w:rPr/>
        <w:t>and</w:t>
      </w:r>
      <w:r>
        <w:rPr>
          <w:spacing w:val="-6"/>
        </w:rPr>
        <w:t> </w:t>
      </w:r>
      <w:r>
        <w:rPr/>
        <w:t>vibrant</w:t>
      </w:r>
      <w:r>
        <w:rPr>
          <w:spacing w:val="-4"/>
        </w:rPr>
        <w:t> </w:t>
      </w:r>
      <w:r>
        <w:rPr/>
        <w:t>part</w:t>
      </w:r>
      <w:r>
        <w:rPr>
          <w:spacing w:val="-9"/>
        </w:rPr>
        <w:t> </w:t>
      </w:r>
      <w:r>
        <w:rPr/>
        <w:t>of</w:t>
      </w:r>
      <w:r>
        <w:rPr>
          <w:spacing w:val="-2"/>
        </w:rPr>
        <w:t> </w:t>
      </w:r>
      <w:r>
        <w:rPr/>
        <w:t>their</w:t>
      </w:r>
      <w:r>
        <w:rPr>
          <w:spacing w:val="-6"/>
        </w:rPr>
        <w:t> </w:t>
      </w:r>
      <w:r>
        <w:rPr/>
        <w:t>communities. The reports will include exemplars in the Arizona</w:t>
      </w:r>
      <w:r>
        <w:rPr>
          <w:spacing w:val="-19"/>
        </w:rPr>
        <w:t> </w:t>
      </w:r>
      <w:r>
        <w:rPr/>
        <w:t>marketplace.</w:t>
      </w:r>
    </w:p>
    <w:p>
      <w:pPr>
        <w:pStyle w:val="BodyText"/>
        <w:spacing w:line="276" w:lineRule="auto" w:before="200"/>
        <w:ind w:left="100" w:right="114"/>
        <w:jc w:val="both"/>
      </w:pPr>
      <w:r>
        <w:rPr/>
        <w:t>There have been charters in Arizona since 1994. All of the charters from 1994 to 2015 were financially evaluated using forensic accounting. The detailed look focuses on specific</w:t>
      </w:r>
      <w:r>
        <w:rPr>
          <w:spacing w:val="-17"/>
        </w:rPr>
        <w:t> </w:t>
      </w:r>
      <w:r>
        <w:rPr/>
        <w:t>fiscal</w:t>
      </w:r>
      <w:r>
        <w:rPr>
          <w:spacing w:val="-14"/>
        </w:rPr>
        <w:t> </w:t>
      </w:r>
      <w:r>
        <w:rPr/>
        <w:t>years</w:t>
      </w:r>
      <w:r>
        <w:rPr>
          <w:spacing w:val="-15"/>
        </w:rPr>
        <w:t> </w:t>
      </w:r>
      <w:r>
        <w:rPr/>
        <w:t>(2013-2014</w:t>
      </w:r>
      <w:r>
        <w:rPr>
          <w:spacing w:val="-13"/>
        </w:rPr>
        <w:t> </w:t>
      </w:r>
      <w:r>
        <w:rPr/>
        <w:t>and</w:t>
      </w:r>
      <w:r>
        <w:rPr>
          <w:spacing w:val="-13"/>
        </w:rPr>
        <w:t> </w:t>
      </w:r>
      <w:r>
        <w:rPr/>
        <w:t>2014-2015).</w:t>
      </w:r>
      <w:r>
        <w:rPr>
          <w:spacing w:val="-14"/>
        </w:rPr>
        <w:t> </w:t>
      </w:r>
      <w:r>
        <w:rPr/>
        <w:t>The</w:t>
      </w:r>
      <w:r>
        <w:rPr>
          <w:spacing w:val="-13"/>
        </w:rPr>
        <w:t> </w:t>
      </w:r>
      <w:r>
        <w:rPr/>
        <w:t>data</w:t>
      </w:r>
      <w:r>
        <w:rPr>
          <w:spacing w:val="-15"/>
        </w:rPr>
        <w:t> </w:t>
      </w:r>
      <w:r>
        <w:rPr/>
        <w:t>for</w:t>
      </w:r>
      <w:r>
        <w:rPr>
          <w:spacing w:val="-15"/>
        </w:rPr>
        <w:t> </w:t>
      </w:r>
      <w:r>
        <w:rPr/>
        <w:t>most</w:t>
      </w:r>
      <w:r>
        <w:rPr>
          <w:spacing w:val="-16"/>
        </w:rPr>
        <w:t> </w:t>
      </w:r>
      <w:r>
        <w:rPr/>
        <w:t>of</w:t>
      </w:r>
      <w:r>
        <w:rPr>
          <w:spacing w:val="-13"/>
        </w:rPr>
        <w:t> </w:t>
      </w:r>
      <w:r>
        <w:rPr/>
        <w:t>the</w:t>
      </w:r>
      <w:r>
        <w:rPr>
          <w:spacing w:val="-13"/>
        </w:rPr>
        <w:t> </w:t>
      </w:r>
      <w:r>
        <w:rPr/>
        <w:t>charters</w:t>
      </w:r>
      <w:r>
        <w:rPr>
          <w:spacing w:val="-15"/>
        </w:rPr>
        <w:t> </w:t>
      </w:r>
      <w:r>
        <w:rPr/>
        <w:t>looked at goes much deeper. This was a deliberate researching technique to probe the data vertically and horizontally. Causes of financial disparities often resulted in a full probe of all of the available data prior to drawing conclusions based on two</w:t>
      </w:r>
      <w:r>
        <w:rPr>
          <w:spacing w:val="-23"/>
        </w:rPr>
        <w:t> </w:t>
      </w:r>
      <w:r>
        <w:rPr/>
        <w:t>years.</w:t>
      </w:r>
    </w:p>
    <w:p>
      <w:pPr>
        <w:pStyle w:val="BodyText"/>
        <w:spacing w:line="278" w:lineRule="auto" w:before="202"/>
        <w:ind w:left="100" w:right="120"/>
        <w:jc w:val="both"/>
      </w:pPr>
      <w:r>
        <w:rPr/>
        <w:t>The ASBCS and the ADE's databases were the source of most of the materials used in the report.</w:t>
      </w:r>
    </w:p>
    <w:p>
      <w:pPr>
        <w:spacing w:after="0" w:line="278" w:lineRule="auto"/>
        <w:jc w:val="both"/>
        <w:sectPr>
          <w:pgSz w:w="12240" w:h="15840"/>
          <w:pgMar w:header="740" w:footer="1002" w:top="940" w:bottom="1200" w:left="1340" w:right="1320"/>
        </w:sectPr>
      </w:pPr>
    </w:p>
    <w:p>
      <w:pPr>
        <w:pStyle w:val="BodyText"/>
        <w:rPr>
          <w:sz w:val="20"/>
        </w:rPr>
      </w:pPr>
    </w:p>
    <w:p>
      <w:pPr>
        <w:pStyle w:val="BodyText"/>
        <w:spacing w:before="7"/>
        <w:rPr>
          <w:sz w:val="21"/>
        </w:rPr>
      </w:pPr>
    </w:p>
    <w:p>
      <w:pPr>
        <w:pStyle w:val="BodyText"/>
        <w:spacing w:line="276" w:lineRule="auto"/>
        <w:ind w:left="100" w:right="116"/>
        <w:jc w:val="both"/>
      </w:pPr>
      <w:r>
        <w:rPr/>
        <w:t>The </w:t>
      </w:r>
      <w:r>
        <w:rPr>
          <w:sz w:val="22"/>
        </w:rPr>
        <w:t>ASBCS </w:t>
      </w:r>
      <w:r>
        <w:rPr/>
        <w:t>has been responding to some of the calls for transparency and financial oversight.</w:t>
      </w:r>
      <w:r>
        <w:rPr>
          <w:spacing w:val="-12"/>
        </w:rPr>
        <w:t> </w:t>
      </w:r>
      <w:r>
        <w:rPr/>
        <w:t>Their</w:t>
      </w:r>
      <w:r>
        <w:rPr>
          <w:spacing w:val="-16"/>
        </w:rPr>
        <w:t> </w:t>
      </w:r>
      <w:r>
        <w:rPr/>
        <w:t>analysis</w:t>
      </w:r>
      <w:r>
        <w:rPr>
          <w:spacing w:val="-13"/>
        </w:rPr>
        <w:t> </w:t>
      </w:r>
      <w:r>
        <w:rPr/>
        <w:t>of</w:t>
      </w:r>
      <w:r>
        <w:rPr>
          <w:spacing w:val="-12"/>
        </w:rPr>
        <w:t> </w:t>
      </w:r>
      <w:r>
        <w:rPr/>
        <w:t>financial</w:t>
      </w:r>
      <w:r>
        <w:rPr>
          <w:spacing w:val="-13"/>
        </w:rPr>
        <w:t> </w:t>
      </w:r>
      <w:r>
        <w:rPr/>
        <w:t>performance</w:t>
      </w:r>
      <w:r>
        <w:rPr>
          <w:spacing w:val="-12"/>
        </w:rPr>
        <w:t> </w:t>
      </w:r>
      <w:r>
        <w:rPr/>
        <w:t>is</w:t>
      </w:r>
      <w:r>
        <w:rPr>
          <w:spacing w:val="-13"/>
        </w:rPr>
        <w:t> </w:t>
      </w:r>
      <w:r>
        <w:rPr/>
        <w:t>included</w:t>
      </w:r>
      <w:r>
        <w:rPr>
          <w:spacing w:val="-12"/>
        </w:rPr>
        <w:t> </w:t>
      </w:r>
      <w:r>
        <w:rPr/>
        <w:t>in</w:t>
      </w:r>
      <w:r>
        <w:rPr>
          <w:spacing w:val="-14"/>
        </w:rPr>
        <w:t> </w:t>
      </w:r>
      <w:r>
        <w:rPr/>
        <w:t>the</w:t>
      </w:r>
      <w:r>
        <w:rPr>
          <w:spacing w:val="-14"/>
        </w:rPr>
        <w:t> </w:t>
      </w:r>
      <w:r>
        <w:rPr/>
        <w:t>data.</w:t>
      </w:r>
      <w:r>
        <w:rPr>
          <w:spacing w:val="-14"/>
        </w:rPr>
        <w:t> </w:t>
      </w:r>
      <w:r>
        <w:rPr/>
        <w:t>Their</w:t>
      </w:r>
      <w:r>
        <w:rPr>
          <w:spacing w:val="-14"/>
        </w:rPr>
        <w:t> </w:t>
      </w:r>
      <w:r>
        <w:rPr/>
        <w:t>assistance in</w:t>
      </w:r>
      <w:r>
        <w:rPr>
          <w:spacing w:val="-9"/>
        </w:rPr>
        <w:t> </w:t>
      </w:r>
      <w:r>
        <w:rPr/>
        <w:t>the</w:t>
      </w:r>
      <w:r>
        <w:rPr>
          <w:spacing w:val="-8"/>
        </w:rPr>
        <w:t> </w:t>
      </w:r>
      <w:r>
        <w:rPr/>
        <w:t>data</w:t>
      </w:r>
      <w:r>
        <w:rPr>
          <w:spacing w:val="-8"/>
        </w:rPr>
        <w:t> </w:t>
      </w:r>
      <w:r>
        <w:rPr/>
        <w:t>gathering</w:t>
      </w:r>
      <w:r>
        <w:rPr>
          <w:spacing w:val="-13"/>
        </w:rPr>
        <w:t> </w:t>
      </w:r>
      <w:r>
        <w:rPr/>
        <w:t>for</w:t>
      </w:r>
      <w:r>
        <w:rPr>
          <w:spacing w:val="-10"/>
        </w:rPr>
        <w:t> </w:t>
      </w:r>
      <w:r>
        <w:rPr/>
        <w:t>this</w:t>
      </w:r>
      <w:r>
        <w:rPr>
          <w:spacing w:val="-10"/>
        </w:rPr>
        <w:t> </w:t>
      </w:r>
      <w:r>
        <w:rPr/>
        <w:t>report</w:t>
      </w:r>
      <w:r>
        <w:rPr>
          <w:spacing w:val="-9"/>
        </w:rPr>
        <w:t> </w:t>
      </w:r>
      <w:r>
        <w:rPr/>
        <w:t>is</w:t>
      </w:r>
      <w:r>
        <w:rPr>
          <w:spacing w:val="-10"/>
        </w:rPr>
        <w:t> </w:t>
      </w:r>
      <w:r>
        <w:rPr/>
        <w:t>greatly</w:t>
      </w:r>
      <w:r>
        <w:rPr>
          <w:spacing w:val="-12"/>
        </w:rPr>
        <w:t> </w:t>
      </w:r>
      <w:r>
        <w:rPr/>
        <w:t>appreciated</w:t>
      </w:r>
      <w:r>
        <w:rPr>
          <w:spacing w:val="-8"/>
        </w:rPr>
        <w:t> </w:t>
      </w:r>
      <w:r>
        <w:rPr/>
        <w:t>as</w:t>
      </w:r>
      <w:r>
        <w:rPr>
          <w:spacing w:val="-9"/>
        </w:rPr>
        <w:t> </w:t>
      </w:r>
      <w:r>
        <w:rPr/>
        <w:t>was</w:t>
      </w:r>
      <w:r>
        <w:rPr>
          <w:spacing w:val="-9"/>
        </w:rPr>
        <w:t> </w:t>
      </w:r>
      <w:r>
        <w:rPr/>
        <w:t>the</w:t>
      </w:r>
      <w:r>
        <w:rPr>
          <w:spacing w:val="-11"/>
        </w:rPr>
        <w:t> </w:t>
      </w:r>
      <w:r>
        <w:rPr/>
        <w:t>assistance</w:t>
      </w:r>
      <w:r>
        <w:rPr>
          <w:spacing w:val="-8"/>
        </w:rPr>
        <w:t> </w:t>
      </w:r>
      <w:r>
        <w:rPr/>
        <w:t>garnered from the</w:t>
      </w:r>
      <w:r>
        <w:rPr>
          <w:spacing w:val="-5"/>
        </w:rPr>
        <w:t> </w:t>
      </w:r>
      <w:r>
        <w:rPr/>
        <w:t>ADE.</w:t>
      </w:r>
    </w:p>
    <w:p>
      <w:pPr>
        <w:pStyle w:val="BodyText"/>
        <w:spacing w:line="276" w:lineRule="auto" w:before="201"/>
        <w:ind w:left="100" w:right="112"/>
        <w:jc w:val="both"/>
      </w:pPr>
      <w:r>
        <w:rPr/>
        <w:t>Numerous research papers were also used with an eye towards reading papers and books from both “sides of the aisle.” This is a term used with caution as the</w:t>
      </w:r>
      <w:r>
        <w:rPr>
          <w:spacing w:val="-48"/>
        </w:rPr>
        <w:t> </w:t>
      </w:r>
      <w:r>
        <w:rPr/>
        <w:t>author’s own experience came from work with Senator Judd Gregg, Republican, and Senator Ted Kennedy, Democrat, whose advice and counsel was sought while they were the Senate Education Committee</w:t>
      </w:r>
      <w:r>
        <w:rPr>
          <w:spacing w:val="-26"/>
        </w:rPr>
        <w:t> </w:t>
      </w:r>
      <w:r>
        <w:rPr/>
        <w:t>chairs.</w:t>
      </w:r>
    </w:p>
    <w:p>
      <w:pPr>
        <w:pStyle w:val="BodyText"/>
        <w:spacing w:line="276" w:lineRule="auto" w:before="199"/>
        <w:ind w:left="100" w:right="112"/>
        <w:jc w:val="both"/>
      </w:pPr>
      <w:r>
        <w:rPr/>
        <w:t>Federal</w:t>
      </w:r>
      <w:r>
        <w:rPr>
          <w:spacing w:val="-14"/>
        </w:rPr>
        <w:t> </w:t>
      </w:r>
      <w:r>
        <w:rPr/>
        <w:t>form</w:t>
      </w:r>
      <w:r>
        <w:rPr>
          <w:spacing w:val="-13"/>
        </w:rPr>
        <w:t> </w:t>
      </w:r>
      <w:r>
        <w:rPr/>
        <w:t>990s</w:t>
      </w:r>
      <w:r>
        <w:rPr>
          <w:spacing w:val="-14"/>
        </w:rPr>
        <w:t> </w:t>
      </w:r>
      <w:r>
        <w:rPr/>
        <w:t>(a</w:t>
      </w:r>
      <w:r>
        <w:rPr>
          <w:spacing w:val="-11"/>
        </w:rPr>
        <w:t> </w:t>
      </w:r>
      <w:r>
        <w:rPr/>
        <w:t>requirement</w:t>
      </w:r>
      <w:r>
        <w:rPr>
          <w:spacing w:val="-13"/>
        </w:rPr>
        <w:t> </w:t>
      </w:r>
      <w:r>
        <w:rPr/>
        <w:t>for</w:t>
      </w:r>
      <w:r>
        <w:rPr>
          <w:spacing w:val="-15"/>
        </w:rPr>
        <w:t> </w:t>
      </w:r>
      <w:r>
        <w:rPr/>
        <w:t>federal</w:t>
      </w:r>
      <w:r>
        <w:rPr>
          <w:spacing w:val="-14"/>
        </w:rPr>
        <w:t> </w:t>
      </w:r>
      <w:r>
        <w:rPr/>
        <w:t>non-profits)</w:t>
      </w:r>
      <w:r>
        <w:rPr>
          <w:spacing w:val="-12"/>
        </w:rPr>
        <w:t> </w:t>
      </w:r>
      <w:r>
        <w:rPr/>
        <w:t>were</w:t>
      </w:r>
      <w:r>
        <w:rPr>
          <w:spacing w:val="-11"/>
        </w:rPr>
        <w:t> </w:t>
      </w:r>
      <w:r>
        <w:rPr/>
        <w:t>also</w:t>
      </w:r>
      <w:r>
        <w:rPr>
          <w:spacing w:val="-16"/>
        </w:rPr>
        <w:t> </w:t>
      </w:r>
      <w:r>
        <w:rPr/>
        <w:t>a</w:t>
      </w:r>
      <w:r>
        <w:rPr>
          <w:spacing w:val="-11"/>
        </w:rPr>
        <w:t> </w:t>
      </w:r>
      <w:r>
        <w:rPr/>
        <w:t>part</w:t>
      </w:r>
      <w:r>
        <w:rPr>
          <w:spacing w:val="-14"/>
        </w:rPr>
        <w:t> </w:t>
      </w:r>
      <w:r>
        <w:rPr/>
        <w:t>of</w:t>
      </w:r>
      <w:r>
        <w:rPr>
          <w:spacing w:val="-11"/>
        </w:rPr>
        <w:t> </w:t>
      </w:r>
      <w:r>
        <w:rPr/>
        <w:t>the</w:t>
      </w:r>
      <w:r>
        <w:rPr>
          <w:spacing w:val="-13"/>
        </w:rPr>
        <w:t> </w:t>
      </w:r>
      <w:r>
        <w:rPr/>
        <w:t>research. Thanks are extended to Guide Star and Charity Finder for their meticulous gathering of these federally required publicly available reports. These policy reports are a truncated version</w:t>
      </w:r>
      <w:r>
        <w:rPr>
          <w:spacing w:val="-9"/>
        </w:rPr>
        <w:t> </w:t>
      </w:r>
      <w:r>
        <w:rPr/>
        <w:t>of</w:t>
      </w:r>
      <w:r>
        <w:rPr>
          <w:spacing w:val="-10"/>
        </w:rPr>
        <w:t> </w:t>
      </w:r>
      <w:r>
        <w:rPr/>
        <w:t>the</w:t>
      </w:r>
      <w:r>
        <w:rPr>
          <w:spacing w:val="-12"/>
        </w:rPr>
        <w:t> </w:t>
      </w:r>
      <w:r>
        <w:rPr/>
        <w:t>larger</w:t>
      </w:r>
      <w:r>
        <w:rPr>
          <w:spacing w:val="-11"/>
        </w:rPr>
        <w:t> </w:t>
      </w:r>
      <w:r>
        <w:rPr/>
        <w:t>analysis.</w:t>
      </w:r>
      <w:r>
        <w:rPr>
          <w:spacing w:val="-10"/>
        </w:rPr>
        <w:t> </w:t>
      </w:r>
      <w:r>
        <w:rPr/>
        <w:t>Hyperlinks</w:t>
      </w:r>
      <w:r>
        <w:rPr>
          <w:spacing w:val="-10"/>
        </w:rPr>
        <w:t> </w:t>
      </w:r>
      <w:r>
        <w:rPr/>
        <w:t>to</w:t>
      </w:r>
      <w:r>
        <w:rPr>
          <w:spacing w:val="-11"/>
        </w:rPr>
        <w:t> </w:t>
      </w:r>
      <w:r>
        <w:rPr/>
        <w:t>the</w:t>
      </w:r>
      <w:r>
        <w:rPr>
          <w:spacing w:val="-9"/>
        </w:rPr>
        <w:t> </w:t>
      </w:r>
      <w:r>
        <w:rPr/>
        <w:t>source</w:t>
      </w:r>
      <w:r>
        <w:rPr>
          <w:spacing w:val="-12"/>
        </w:rPr>
        <w:t> </w:t>
      </w:r>
      <w:r>
        <w:rPr/>
        <w:t>data</w:t>
      </w:r>
      <w:r>
        <w:rPr>
          <w:spacing w:val="-12"/>
        </w:rPr>
        <w:t> </w:t>
      </w:r>
      <w:r>
        <w:rPr/>
        <w:t>are</w:t>
      </w:r>
      <w:r>
        <w:rPr>
          <w:spacing w:val="-12"/>
        </w:rPr>
        <w:t> </w:t>
      </w:r>
      <w:r>
        <w:rPr/>
        <w:t>embedded</w:t>
      </w:r>
      <w:r>
        <w:rPr>
          <w:spacing w:val="-9"/>
        </w:rPr>
        <w:t> </w:t>
      </w:r>
      <w:r>
        <w:rPr/>
        <w:t>in</w:t>
      </w:r>
      <w:r>
        <w:rPr>
          <w:spacing w:val="-9"/>
        </w:rPr>
        <w:t> </w:t>
      </w:r>
      <w:r>
        <w:rPr/>
        <w:t>the</w:t>
      </w:r>
      <w:r>
        <w:rPr>
          <w:spacing w:val="-12"/>
        </w:rPr>
        <w:t> </w:t>
      </w:r>
      <w:r>
        <w:rPr/>
        <w:t>data</w:t>
      </w:r>
      <w:r>
        <w:rPr>
          <w:spacing w:val="-11"/>
        </w:rPr>
        <w:t> </w:t>
      </w:r>
      <w:r>
        <w:rPr/>
        <w:t>set developed for this report. This allows sceptics and interested parties to validate the research.</w:t>
      </w:r>
    </w:p>
    <w:p>
      <w:pPr>
        <w:pStyle w:val="BodyText"/>
        <w:spacing w:line="276" w:lineRule="auto" w:before="199"/>
        <w:ind w:left="100" w:right="111"/>
        <w:jc w:val="both"/>
      </w:pPr>
      <w:r>
        <w:rPr/>
        <w:t>Lax financial oversight enables ethically challenged practices to occur systematically without the kind of public disclosure that the same behavior would receive in a district. If similar business practices were initiated in a public school district the front page of the </w:t>
      </w:r>
      <w:r>
        <w:rPr>
          <w:i/>
        </w:rPr>
        <w:t>Arizona Republic </w:t>
      </w:r>
      <w:r>
        <w:rPr/>
        <w:t>or the local television news would sound an alarm. Another group that would</w:t>
      </w:r>
      <w:r>
        <w:rPr>
          <w:spacing w:val="-4"/>
        </w:rPr>
        <w:t> </w:t>
      </w:r>
      <w:r>
        <w:rPr/>
        <w:t>publically</w:t>
      </w:r>
      <w:r>
        <w:rPr>
          <w:spacing w:val="-7"/>
        </w:rPr>
        <w:t> </w:t>
      </w:r>
      <w:r>
        <w:rPr/>
        <w:t>shame</w:t>
      </w:r>
      <w:r>
        <w:rPr>
          <w:spacing w:val="-4"/>
        </w:rPr>
        <w:t> </w:t>
      </w:r>
      <w:r>
        <w:rPr/>
        <w:t>a</w:t>
      </w:r>
      <w:r>
        <w:rPr>
          <w:spacing w:val="-4"/>
        </w:rPr>
        <w:t> </w:t>
      </w:r>
      <w:r>
        <w:rPr/>
        <w:t>district</w:t>
      </w:r>
      <w:r>
        <w:rPr>
          <w:spacing w:val="-6"/>
        </w:rPr>
        <w:t> </w:t>
      </w:r>
      <w:r>
        <w:rPr/>
        <w:t>for</w:t>
      </w:r>
      <w:r>
        <w:rPr>
          <w:spacing w:val="-5"/>
        </w:rPr>
        <w:t> </w:t>
      </w:r>
      <w:r>
        <w:rPr/>
        <w:t>the</w:t>
      </w:r>
      <w:r>
        <w:rPr>
          <w:spacing w:val="-4"/>
        </w:rPr>
        <w:t> </w:t>
      </w:r>
      <w:r>
        <w:rPr/>
        <w:t>type</w:t>
      </w:r>
      <w:r>
        <w:rPr>
          <w:spacing w:val="-6"/>
        </w:rPr>
        <w:t> </w:t>
      </w:r>
      <w:r>
        <w:rPr/>
        <w:t>of</w:t>
      </w:r>
      <w:r>
        <w:rPr>
          <w:spacing w:val="-2"/>
        </w:rPr>
        <w:t> </w:t>
      </w:r>
      <w:r>
        <w:rPr/>
        <w:t>behavior</w:t>
      </w:r>
      <w:r>
        <w:rPr>
          <w:spacing w:val="-5"/>
        </w:rPr>
        <w:t> </w:t>
      </w:r>
      <w:r>
        <w:rPr/>
        <w:t>identified</w:t>
      </w:r>
      <w:r>
        <w:rPr>
          <w:spacing w:val="-4"/>
        </w:rPr>
        <w:t> </w:t>
      </w:r>
      <w:r>
        <w:rPr/>
        <w:t>in</w:t>
      </w:r>
      <w:r>
        <w:rPr>
          <w:spacing w:val="-4"/>
        </w:rPr>
        <w:t> </w:t>
      </w:r>
      <w:r>
        <w:rPr/>
        <w:t>this</w:t>
      </w:r>
      <w:r>
        <w:rPr>
          <w:spacing w:val="-5"/>
        </w:rPr>
        <w:t> </w:t>
      </w:r>
      <w:r>
        <w:rPr/>
        <w:t>report</w:t>
      </w:r>
      <w:r>
        <w:rPr>
          <w:spacing w:val="-5"/>
        </w:rPr>
        <w:t> </w:t>
      </w:r>
      <w:r>
        <w:rPr/>
        <w:t>would</w:t>
      </w:r>
      <w:r>
        <w:rPr>
          <w:spacing w:val="-4"/>
        </w:rPr>
        <w:t> </w:t>
      </w:r>
      <w:r>
        <w:rPr/>
        <w:t>be charter school advocacy</w:t>
      </w:r>
      <w:r>
        <w:rPr>
          <w:spacing w:val="-27"/>
        </w:rPr>
        <w:t> </w:t>
      </w:r>
      <w:r>
        <w:rPr/>
        <w:t>groups.</w:t>
      </w:r>
    </w:p>
    <w:p>
      <w:pPr>
        <w:pStyle w:val="BodyText"/>
        <w:spacing w:line="276" w:lineRule="auto" w:before="199"/>
        <w:ind w:left="100" w:right="111"/>
        <w:jc w:val="both"/>
      </w:pPr>
      <w:r>
        <w:rPr/>
        <w:t>Researchers have noted cronyism, oligarchical management structures, monopolistic practices and worse in their findings. Those researchers sometimes used the term misappropriation of funds to describe the behavior manifest in their data. Academic researchers</w:t>
      </w:r>
      <w:r>
        <w:rPr>
          <w:spacing w:val="-11"/>
        </w:rPr>
        <w:t> </w:t>
      </w:r>
      <w:r>
        <w:rPr/>
        <w:t>Bruce</w:t>
      </w:r>
      <w:r>
        <w:rPr>
          <w:spacing w:val="-9"/>
        </w:rPr>
        <w:t> </w:t>
      </w:r>
      <w:r>
        <w:rPr/>
        <w:t>Baker</w:t>
      </w:r>
      <w:r>
        <w:rPr>
          <w:spacing w:val="-11"/>
        </w:rPr>
        <w:t> </w:t>
      </w:r>
      <w:r>
        <w:rPr/>
        <w:t>and</w:t>
      </w:r>
      <w:r>
        <w:rPr>
          <w:spacing w:val="-9"/>
        </w:rPr>
        <w:t> </w:t>
      </w:r>
      <w:r>
        <w:rPr/>
        <w:t>Gary</w:t>
      </w:r>
      <w:r>
        <w:rPr>
          <w:spacing w:val="-13"/>
        </w:rPr>
        <w:t> </w:t>
      </w:r>
      <w:r>
        <w:rPr/>
        <w:t>Miron</w:t>
      </w:r>
      <w:r>
        <w:rPr>
          <w:spacing w:val="-6"/>
        </w:rPr>
        <w:t> </w:t>
      </w:r>
      <w:r>
        <w:rPr/>
        <w:t>note,</w:t>
      </w:r>
      <w:r>
        <w:rPr>
          <w:spacing w:val="-10"/>
        </w:rPr>
        <w:t> </w:t>
      </w:r>
      <w:r>
        <w:rPr/>
        <w:t>“A</w:t>
      </w:r>
      <w:r>
        <w:rPr>
          <w:spacing w:val="-10"/>
        </w:rPr>
        <w:t> </w:t>
      </w:r>
      <w:r>
        <w:rPr/>
        <w:t>substantial</w:t>
      </w:r>
      <w:r>
        <w:rPr>
          <w:spacing w:val="-11"/>
        </w:rPr>
        <w:t> </w:t>
      </w:r>
      <w:r>
        <w:rPr/>
        <w:t>share</w:t>
      </w:r>
      <w:r>
        <w:rPr>
          <w:spacing w:val="-10"/>
        </w:rPr>
        <w:t> </w:t>
      </w:r>
      <w:r>
        <w:rPr/>
        <w:t>of</w:t>
      </w:r>
      <w:r>
        <w:rPr>
          <w:spacing w:val="-10"/>
        </w:rPr>
        <w:t> </w:t>
      </w:r>
      <w:r>
        <w:rPr/>
        <w:t>public</w:t>
      </w:r>
      <w:r>
        <w:rPr>
          <w:spacing w:val="-10"/>
        </w:rPr>
        <w:t> </w:t>
      </w:r>
      <w:r>
        <w:rPr/>
        <w:t>expenditure intended for the delivery of direct educational services to children is being extracted inadvertently or intentionally for personal or business financial gain, creating substantial inefficiencies”</w:t>
      </w:r>
      <w:r>
        <w:rPr>
          <w:spacing w:val="-7"/>
        </w:rPr>
        <w:t> </w:t>
      </w:r>
      <w:r>
        <w:rPr/>
        <w:t>(2015).</w:t>
      </w:r>
    </w:p>
    <w:p>
      <w:pPr>
        <w:pStyle w:val="BodyText"/>
        <w:spacing w:line="276" w:lineRule="auto" w:before="202"/>
        <w:ind w:left="100" w:right="117"/>
        <w:jc w:val="both"/>
      </w:pPr>
      <w:r>
        <w:rPr/>
        <w:t>Deregulating the financial and governance structures normally associated with public school enterprises has created an opportunity for opportunism. These policy reports are designed to present evidence of what has evolved in this deregulated “free market” environment and recommend changes based on that data analysis.</w:t>
      </w:r>
    </w:p>
    <w:p>
      <w:pPr>
        <w:spacing w:after="0" w:line="276" w:lineRule="auto"/>
        <w:jc w:val="both"/>
        <w:sectPr>
          <w:pgSz w:w="12240" w:h="15840"/>
          <w:pgMar w:header="740" w:footer="1002" w:top="940" w:bottom="1200" w:left="1340" w:right="1320"/>
        </w:sectPr>
      </w:pPr>
    </w:p>
    <w:p>
      <w:pPr>
        <w:pStyle w:val="BodyText"/>
        <w:rPr>
          <w:sz w:val="20"/>
        </w:rPr>
      </w:pPr>
    </w:p>
    <w:p>
      <w:pPr>
        <w:pStyle w:val="BodyText"/>
        <w:spacing w:before="2"/>
        <w:rPr>
          <w:sz w:val="22"/>
        </w:rPr>
      </w:pPr>
    </w:p>
    <w:p>
      <w:pPr>
        <w:pStyle w:val="BodyText"/>
        <w:ind w:left="2754"/>
        <w:rPr>
          <w:sz w:val="20"/>
        </w:rPr>
      </w:pPr>
      <w:r>
        <w:rPr>
          <w:sz w:val="20"/>
        </w:rPr>
        <w:drawing>
          <wp:inline distT="0" distB="0" distL="0" distR="0">
            <wp:extent cx="2715586" cy="910494"/>
            <wp:effectExtent l="0" t="0" r="0" b="0"/>
            <wp:docPr id="23" name="image2.png" descr=""/>
            <wp:cNvGraphicFramePr>
              <a:graphicFrameLocks noChangeAspect="1"/>
            </wp:cNvGraphicFramePr>
            <a:graphic>
              <a:graphicData uri="http://schemas.openxmlformats.org/drawingml/2006/picture">
                <pic:pic>
                  <pic:nvPicPr>
                    <pic:cNvPr id="24" name="image2.png"/>
                    <pic:cNvPicPr/>
                  </pic:nvPicPr>
                  <pic:blipFill>
                    <a:blip r:embed="rId10" cstate="print"/>
                    <a:stretch>
                      <a:fillRect/>
                    </a:stretch>
                  </pic:blipFill>
                  <pic:spPr>
                    <a:xfrm>
                      <a:off x="0" y="0"/>
                      <a:ext cx="2715586" cy="910494"/>
                    </a:xfrm>
                    <a:prstGeom prst="rect">
                      <a:avLst/>
                    </a:prstGeom>
                  </pic:spPr>
                </pic:pic>
              </a:graphicData>
            </a:graphic>
          </wp:inline>
        </w:drawing>
      </w:r>
      <w:r>
        <w:rPr>
          <w:sz w:val="20"/>
        </w:rPr>
      </w:r>
    </w:p>
    <w:p>
      <w:pPr>
        <w:pStyle w:val="BodyText"/>
        <w:rPr>
          <w:sz w:val="20"/>
        </w:rPr>
      </w:pPr>
    </w:p>
    <w:p>
      <w:pPr>
        <w:pStyle w:val="BodyText"/>
        <w:rPr>
          <w:sz w:val="20"/>
        </w:rPr>
      </w:pPr>
    </w:p>
    <w:p>
      <w:pPr>
        <w:pStyle w:val="BodyText"/>
        <w:spacing w:before="9" w:after="1"/>
        <w:rPr>
          <w:sz w:val="10"/>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64"/>
        <w:gridCol w:w="4686"/>
      </w:tblGrid>
      <w:tr>
        <w:trPr>
          <w:trHeight w:val="520" w:hRule="atLeast"/>
        </w:trPr>
        <w:tc>
          <w:tcPr>
            <w:tcW w:w="4664" w:type="dxa"/>
            <w:shd w:val="clear" w:color="auto" w:fill="000000"/>
          </w:tcPr>
          <w:p>
            <w:pPr>
              <w:pStyle w:val="TableParagraph"/>
              <w:spacing w:before="7"/>
              <w:ind w:left="1877" w:right="1879"/>
              <w:rPr>
                <w:b/>
                <w:sz w:val="24"/>
              </w:rPr>
            </w:pPr>
            <w:bookmarkStart w:name="_bookmark20" w:id="21"/>
            <w:bookmarkEnd w:id="21"/>
            <w:r>
              <w:rPr/>
            </w:r>
            <w:r>
              <w:rPr>
                <w:b/>
                <w:color w:val="FFFFFF"/>
                <w:sz w:val="24"/>
              </w:rPr>
              <w:t>Finding</w:t>
            </w:r>
          </w:p>
        </w:tc>
        <w:tc>
          <w:tcPr>
            <w:tcW w:w="4686" w:type="dxa"/>
            <w:shd w:val="clear" w:color="auto" w:fill="000000"/>
          </w:tcPr>
          <w:p>
            <w:pPr>
              <w:pStyle w:val="TableParagraph"/>
              <w:spacing w:before="7"/>
              <w:ind w:left="1337"/>
              <w:jc w:val="left"/>
              <w:rPr>
                <w:b/>
                <w:sz w:val="24"/>
              </w:rPr>
            </w:pPr>
            <w:r>
              <w:rPr>
                <w:b/>
                <w:color w:val="FFFFFF"/>
                <w:sz w:val="24"/>
              </w:rPr>
              <w:t>Recommendation</w:t>
            </w:r>
          </w:p>
        </w:tc>
      </w:tr>
      <w:tr>
        <w:trPr>
          <w:trHeight w:val="6780" w:hRule="atLeast"/>
        </w:trPr>
        <w:tc>
          <w:tcPr>
            <w:tcW w:w="4664" w:type="dxa"/>
            <w:tcBorders>
              <w:left w:val="single" w:sz="4" w:space="0" w:color="000000"/>
              <w:right w:val="single" w:sz="4" w:space="0" w:color="000000"/>
            </w:tcBorders>
          </w:tcPr>
          <w:p>
            <w:pPr>
              <w:pStyle w:val="TableParagraph"/>
              <w:ind w:left="597"/>
              <w:jc w:val="left"/>
              <w:rPr>
                <w:sz w:val="20"/>
              </w:rPr>
            </w:pPr>
            <w:r>
              <w:rPr>
                <w:sz w:val="20"/>
              </w:rPr>
              <w:drawing>
                <wp:inline distT="0" distB="0" distL="0" distR="0">
                  <wp:extent cx="2195449" cy="731520"/>
                  <wp:effectExtent l="0" t="0" r="0" b="0"/>
                  <wp:docPr id="25" name="image6.jpeg" descr=""/>
                  <wp:cNvGraphicFramePr>
                    <a:graphicFrameLocks noChangeAspect="1"/>
                  </wp:cNvGraphicFramePr>
                  <a:graphic>
                    <a:graphicData uri="http://schemas.openxmlformats.org/drawingml/2006/picture">
                      <pic:pic>
                        <pic:nvPicPr>
                          <pic:cNvPr id="26" name="image6.jpeg"/>
                          <pic:cNvPicPr/>
                        </pic:nvPicPr>
                        <pic:blipFill>
                          <a:blip r:embed="rId16" cstate="print"/>
                          <a:stretch>
                            <a:fillRect/>
                          </a:stretch>
                        </pic:blipFill>
                        <pic:spPr>
                          <a:xfrm>
                            <a:off x="0" y="0"/>
                            <a:ext cx="2195449" cy="731520"/>
                          </a:xfrm>
                          <a:prstGeom prst="rect">
                            <a:avLst/>
                          </a:prstGeom>
                        </pic:spPr>
                      </pic:pic>
                    </a:graphicData>
                  </a:graphic>
                </wp:inline>
              </w:drawing>
            </w:r>
            <w:r>
              <w:rPr>
                <w:sz w:val="20"/>
              </w:rPr>
            </w:r>
          </w:p>
          <w:p>
            <w:pPr>
              <w:pStyle w:val="TableParagraph"/>
              <w:spacing w:before="6"/>
              <w:jc w:val="left"/>
              <w:rPr>
                <w:sz w:val="20"/>
              </w:rPr>
            </w:pPr>
          </w:p>
          <w:p>
            <w:pPr>
              <w:pStyle w:val="TableParagraph"/>
              <w:spacing w:line="276" w:lineRule="auto"/>
              <w:ind w:left="103" w:right="279"/>
              <w:jc w:val="left"/>
              <w:rPr>
                <w:sz w:val="24"/>
              </w:rPr>
            </w:pPr>
            <w:r>
              <w:rPr>
                <w:sz w:val="24"/>
              </w:rPr>
              <w:t>For three-fourths of charters, related- party transactions appear to be more for self-enrichment than saving money or benefitting students.</w:t>
            </w:r>
          </w:p>
        </w:tc>
        <w:tc>
          <w:tcPr>
            <w:tcW w:w="4686" w:type="dxa"/>
            <w:tcBorders>
              <w:left w:val="single" w:sz="4" w:space="0" w:color="000000"/>
              <w:right w:val="single" w:sz="4" w:space="0" w:color="000000"/>
            </w:tcBorders>
          </w:tcPr>
          <w:p>
            <w:pPr>
              <w:pStyle w:val="TableParagraph"/>
              <w:numPr>
                <w:ilvl w:val="0"/>
                <w:numId w:val="9"/>
              </w:numPr>
              <w:tabs>
                <w:tab w:pos="420" w:val="left" w:leader="none"/>
              </w:tabs>
              <w:spacing w:line="259" w:lineRule="auto" w:before="0" w:after="0"/>
              <w:ind w:left="419" w:right="92" w:hanging="268"/>
              <w:jc w:val="both"/>
              <w:rPr>
                <w:sz w:val="24"/>
              </w:rPr>
            </w:pPr>
            <w:r>
              <w:rPr>
                <w:sz w:val="24"/>
              </w:rPr>
              <w:t>Charters need to be held to the same public bidding procurement process as public district schools. That will make any related-party contracts public information. If compliance creates an administrative burden on the charter, then the ASBCS should facilitate the bidding for them as schools have similar</w:t>
            </w:r>
            <w:r>
              <w:rPr>
                <w:spacing w:val="-19"/>
                <w:sz w:val="24"/>
              </w:rPr>
              <w:t> </w:t>
            </w:r>
            <w:r>
              <w:rPr>
                <w:sz w:val="24"/>
              </w:rPr>
              <w:t>needs</w:t>
            </w:r>
            <w:r>
              <w:rPr>
                <w:spacing w:val="-21"/>
                <w:sz w:val="24"/>
              </w:rPr>
              <w:t> </w:t>
            </w:r>
            <w:r>
              <w:rPr>
                <w:sz w:val="24"/>
              </w:rPr>
              <w:t>for</w:t>
            </w:r>
            <w:r>
              <w:rPr>
                <w:spacing w:val="-19"/>
                <w:sz w:val="24"/>
              </w:rPr>
              <w:t> </w:t>
            </w:r>
            <w:r>
              <w:rPr>
                <w:sz w:val="24"/>
              </w:rPr>
              <w:t>which</w:t>
            </w:r>
            <w:r>
              <w:rPr>
                <w:spacing w:val="-16"/>
                <w:sz w:val="24"/>
              </w:rPr>
              <w:t> </w:t>
            </w:r>
            <w:r>
              <w:rPr>
                <w:sz w:val="24"/>
              </w:rPr>
              <w:t>they</w:t>
            </w:r>
            <w:r>
              <w:rPr>
                <w:spacing w:val="-21"/>
                <w:sz w:val="24"/>
              </w:rPr>
              <w:t> </w:t>
            </w:r>
            <w:r>
              <w:rPr>
                <w:sz w:val="24"/>
              </w:rPr>
              <w:t>would</w:t>
            </w:r>
            <w:r>
              <w:rPr>
                <w:spacing w:val="-18"/>
                <w:sz w:val="24"/>
              </w:rPr>
              <w:t> </w:t>
            </w:r>
            <w:r>
              <w:rPr>
                <w:sz w:val="24"/>
              </w:rPr>
              <w:t>need to procure</w:t>
            </w:r>
            <w:r>
              <w:rPr>
                <w:spacing w:val="-10"/>
                <w:sz w:val="24"/>
              </w:rPr>
              <w:t> </w:t>
            </w:r>
            <w:r>
              <w:rPr>
                <w:sz w:val="24"/>
              </w:rPr>
              <w:t>bids.</w:t>
            </w:r>
          </w:p>
          <w:p>
            <w:pPr>
              <w:pStyle w:val="TableParagraph"/>
              <w:numPr>
                <w:ilvl w:val="0"/>
                <w:numId w:val="9"/>
              </w:numPr>
              <w:tabs>
                <w:tab w:pos="456" w:val="left" w:leader="none"/>
              </w:tabs>
              <w:spacing w:line="276" w:lineRule="auto" w:before="165" w:after="0"/>
              <w:ind w:left="455" w:right="90" w:hanging="268"/>
              <w:jc w:val="both"/>
              <w:rPr>
                <w:sz w:val="24"/>
              </w:rPr>
            </w:pPr>
            <w:r>
              <w:rPr>
                <w:sz w:val="24"/>
              </w:rPr>
              <w:t>Any and all Related-party employment compensation needs to be disclosed</w:t>
            </w:r>
            <w:r>
              <w:rPr>
                <w:spacing w:val="-27"/>
                <w:sz w:val="24"/>
              </w:rPr>
              <w:t> </w:t>
            </w:r>
            <w:r>
              <w:rPr>
                <w:sz w:val="24"/>
              </w:rPr>
              <w:t>in audits and the charter must provide a market-based analysis to the ASBCS that demonstrates no more than fair- market value is paid for any compensation to related-parties. The amount of related-party employment compensation for each charter will be available to the public at the ASBCS’ website, including any</w:t>
            </w:r>
            <w:r>
              <w:rPr>
                <w:spacing w:val="-28"/>
                <w:sz w:val="24"/>
              </w:rPr>
              <w:t> </w:t>
            </w:r>
            <w:r>
              <w:rPr>
                <w:sz w:val="24"/>
              </w:rPr>
              <w:t>documentation</w:t>
            </w:r>
          </w:p>
        </w:tc>
      </w:tr>
    </w:tbl>
    <w:p>
      <w:pPr>
        <w:pStyle w:val="BodyText"/>
        <w:rPr>
          <w:sz w:val="20"/>
        </w:rPr>
      </w:pPr>
    </w:p>
    <w:p>
      <w:pPr>
        <w:pStyle w:val="BodyText"/>
        <w:spacing w:before="9"/>
        <w:rPr>
          <w:sz w:val="22"/>
        </w:rPr>
      </w:pPr>
    </w:p>
    <w:p>
      <w:pPr>
        <w:spacing w:before="0"/>
        <w:ind w:left="218" w:right="0" w:firstLine="0"/>
        <w:jc w:val="both"/>
        <w:rPr>
          <w:b/>
          <w:sz w:val="22"/>
        </w:rPr>
      </w:pPr>
      <w:bookmarkStart w:name="_bookmark21" w:id="22"/>
      <w:bookmarkEnd w:id="22"/>
      <w:r>
        <w:rPr/>
      </w:r>
      <w:r>
        <w:rPr>
          <w:b/>
          <w:color w:val="4F81BC"/>
          <w:sz w:val="22"/>
        </w:rPr>
        <w:t>Behavior can be moderated through regulation</w:t>
      </w:r>
    </w:p>
    <w:p>
      <w:pPr>
        <w:spacing w:line="276" w:lineRule="auto" w:before="37"/>
        <w:ind w:left="220" w:right="117" w:firstLine="0"/>
        <w:jc w:val="both"/>
        <w:rPr>
          <w:i/>
          <w:sz w:val="24"/>
        </w:rPr>
      </w:pPr>
      <w:r>
        <w:rPr>
          <w:i/>
          <w:sz w:val="24"/>
        </w:rPr>
        <w:t>Barry</w:t>
      </w:r>
      <w:r>
        <w:rPr>
          <w:i/>
          <w:spacing w:val="-8"/>
          <w:sz w:val="24"/>
        </w:rPr>
        <w:t> </w:t>
      </w:r>
      <w:r>
        <w:rPr>
          <w:i/>
          <w:sz w:val="24"/>
        </w:rPr>
        <w:t>Goldwater</w:t>
      </w:r>
      <w:r>
        <w:rPr>
          <w:i/>
          <w:spacing w:val="-11"/>
          <w:sz w:val="24"/>
        </w:rPr>
        <w:t> </w:t>
      </w:r>
      <w:r>
        <w:rPr>
          <w:i/>
          <w:sz w:val="24"/>
        </w:rPr>
        <w:t>famously</w:t>
      </w:r>
      <w:r>
        <w:rPr>
          <w:i/>
          <w:spacing w:val="-8"/>
          <w:sz w:val="24"/>
        </w:rPr>
        <w:t> </w:t>
      </w:r>
      <w:r>
        <w:rPr>
          <w:i/>
          <w:sz w:val="24"/>
        </w:rPr>
        <w:t>stated</w:t>
      </w:r>
      <w:r>
        <w:rPr>
          <w:i/>
          <w:spacing w:val="-9"/>
          <w:sz w:val="24"/>
        </w:rPr>
        <w:t> </w:t>
      </w:r>
      <w:r>
        <w:rPr>
          <w:i/>
          <w:sz w:val="24"/>
        </w:rPr>
        <w:t>that</w:t>
      </w:r>
      <w:r>
        <w:rPr>
          <w:i/>
          <w:spacing w:val="-10"/>
          <w:sz w:val="24"/>
        </w:rPr>
        <w:t> </w:t>
      </w:r>
      <w:r>
        <w:rPr>
          <w:i/>
          <w:sz w:val="24"/>
        </w:rPr>
        <w:t>we</w:t>
      </w:r>
      <w:r>
        <w:rPr>
          <w:i/>
          <w:spacing w:val="-7"/>
          <w:sz w:val="24"/>
        </w:rPr>
        <w:t> </w:t>
      </w:r>
      <w:r>
        <w:rPr>
          <w:i/>
          <w:sz w:val="24"/>
        </w:rPr>
        <w:t>cannot</w:t>
      </w:r>
      <w:r>
        <w:rPr>
          <w:i/>
          <w:spacing w:val="-7"/>
          <w:sz w:val="24"/>
        </w:rPr>
        <w:t> </w:t>
      </w:r>
      <w:r>
        <w:rPr>
          <w:i/>
          <w:sz w:val="24"/>
        </w:rPr>
        <w:t>legislate</w:t>
      </w:r>
      <w:r>
        <w:rPr>
          <w:i/>
          <w:spacing w:val="-7"/>
          <w:sz w:val="24"/>
        </w:rPr>
        <w:t> </w:t>
      </w:r>
      <w:r>
        <w:rPr>
          <w:i/>
          <w:sz w:val="24"/>
        </w:rPr>
        <w:t>morality.</w:t>
      </w:r>
      <w:r>
        <w:rPr>
          <w:i/>
          <w:spacing w:val="-7"/>
          <w:sz w:val="24"/>
        </w:rPr>
        <w:t> </w:t>
      </w:r>
      <w:r>
        <w:rPr>
          <w:i/>
          <w:sz w:val="24"/>
        </w:rPr>
        <w:t>To</w:t>
      </w:r>
      <w:r>
        <w:rPr>
          <w:i/>
          <w:spacing w:val="-7"/>
          <w:sz w:val="24"/>
        </w:rPr>
        <w:t> </w:t>
      </w:r>
      <w:r>
        <w:rPr>
          <w:i/>
          <w:sz w:val="24"/>
        </w:rPr>
        <w:t>counter</w:t>
      </w:r>
      <w:r>
        <w:rPr>
          <w:i/>
          <w:spacing w:val="-8"/>
          <w:sz w:val="24"/>
        </w:rPr>
        <w:t> </w:t>
      </w:r>
      <w:r>
        <w:rPr>
          <w:i/>
          <w:sz w:val="24"/>
        </w:rPr>
        <w:t>that</w:t>
      </w:r>
      <w:r>
        <w:rPr>
          <w:i/>
          <w:spacing w:val="-10"/>
          <w:sz w:val="24"/>
        </w:rPr>
        <w:t> </w:t>
      </w:r>
      <w:r>
        <w:rPr>
          <w:i/>
          <w:sz w:val="24"/>
        </w:rPr>
        <w:t>notion </w:t>
      </w:r>
      <w:r>
        <w:rPr>
          <w:i/>
          <w:sz w:val="24"/>
        </w:rPr>
        <w:t>Martin Luther King said, “It may be true that morality cannot be legislated, but behavior can be regulated” (King 1962). The regulating of unethical financial and governance behavior should be the role of the </w:t>
      </w:r>
      <w:r>
        <w:rPr>
          <w:sz w:val="24"/>
        </w:rPr>
        <w:t>ASBCS </w:t>
      </w:r>
      <w:r>
        <w:rPr>
          <w:i/>
          <w:sz w:val="24"/>
        </w:rPr>
        <w:t>and the</w:t>
      </w:r>
      <w:r>
        <w:rPr>
          <w:i/>
          <w:spacing w:val="-47"/>
          <w:sz w:val="24"/>
        </w:rPr>
        <w:t> </w:t>
      </w:r>
      <w:r>
        <w:rPr>
          <w:i/>
          <w:sz w:val="24"/>
        </w:rPr>
        <w:t>ADE.</w:t>
      </w:r>
    </w:p>
    <w:p>
      <w:pPr>
        <w:spacing w:line="280" w:lineRule="auto" w:before="199"/>
        <w:ind w:left="220" w:right="119" w:firstLine="0"/>
        <w:jc w:val="both"/>
        <w:rPr>
          <w:i/>
          <w:sz w:val="24"/>
        </w:rPr>
      </w:pPr>
      <w:r>
        <w:rPr>
          <w:i/>
          <w:sz w:val="24"/>
        </w:rPr>
        <w:t>Allowing all of the requests to bypass the normal process of bidding services, which has </w:t>
      </w:r>
      <w:r>
        <w:rPr>
          <w:i/>
          <w:sz w:val="24"/>
        </w:rPr>
        <w:t>led to a propensity of related-party transactions, is not the way to moderate behavior.</w:t>
      </w:r>
    </w:p>
    <w:p>
      <w:pPr>
        <w:spacing w:after="0" w:line="280" w:lineRule="auto"/>
        <w:jc w:val="both"/>
        <w:rPr>
          <w:sz w:val="24"/>
        </w:rPr>
        <w:sectPr>
          <w:pgSz w:w="12240" w:h="15840"/>
          <w:pgMar w:header="740" w:footer="1002" w:top="940" w:bottom="1200" w:left="1220" w:right="1320"/>
        </w:sectPr>
      </w:pPr>
    </w:p>
    <w:p>
      <w:pPr>
        <w:pStyle w:val="BodyText"/>
        <w:rPr>
          <w:i/>
          <w:sz w:val="20"/>
        </w:rPr>
      </w:pPr>
    </w:p>
    <w:p>
      <w:pPr>
        <w:pStyle w:val="BodyText"/>
        <w:spacing w:before="2"/>
        <w:rPr>
          <w:i/>
          <w:sz w:val="21"/>
        </w:rPr>
      </w:pPr>
    </w:p>
    <w:p>
      <w:pPr>
        <w:spacing w:line="453" w:lineRule="auto" w:before="1"/>
        <w:ind w:left="240" w:right="122" w:firstLine="0"/>
        <w:jc w:val="both"/>
        <w:rPr>
          <w:i/>
          <w:sz w:val="24"/>
        </w:rPr>
      </w:pPr>
      <w:r>
        <w:rPr>
          <w:i/>
          <w:sz w:val="24"/>
        </w:rPr>
        <w:t>The</w:t>
      </w:r>
      <w:r>
        <w:rPr>
          <w:i/>
          <w:spacing w:val="-7"/>
          <w:sz w:val="24"/>
        </w:rPr>
        <w:t> </w:t>
      </w:r>
      <w:r>
        <w:rPr>
          <w:i/>
          <w:sz w:val="24"/>
        </w:rPr>
        <w:t>behavior</w:t>
      </w:r>
      <w:r>
        <w:rPr>
          <w:i/>
          <w:spacing w:val="-8"/>
          <w:sz w:val="24"/>
        </w:rPr>
        <w:t> </w:t>
      </w:r>
      <w:r>
        <w:rPr>
          <w:i/>
          <w:sz w:val="24"/>
        </w:rPr>
        <w:t>of</w:t>
      </w:r>
      <w:r>
        <w:rPr>
          <w:i/>
          <w:spacing w:val="-7"/>
          <w:sz w:val="24"/>
        </w:rPr>
        <w:t> </w:t>
      </w:r>
      <w:r>
        <w:rPr>
          <w:i/>
          <w:sz w:val="24"/>
        </w:rPr>
        <w:t>the</w:t>
      </w:r>
      <w:r>
        <w:rPr>
          <w:i/>
          <w:spacing w:val="-7"/>
          <w:sz w:val="24"/>
        </w:rPr>
        <w:t> </w:t>
      </w:r>
      <w:r>
        <w:rPr>
          <w:i/>
          <w:sz w:val="24"/>
        </w:rPr>
        <w:t>bad</w:t>
      </w:r>
      <w:r>
        <w:rPr>
          <w:i/>
          <w:spacing w:val="-7"/>
          <w:sz w:val="24"/>
        </w:rPr>
        <w:t> </w:t>
      </w:r>
      <w:r>
        <w:rPr>
          <w:i/>
          <w:sz w:val="24"/>
        </w:rPr>
        <w:t>actors</w:t>
      </w:r>
      <w:r>
        <w:rPr>
          <w:i/>
          <w:spacing w:val="-8"/>
          <w:sz w:val="24"/>
        </w:rPr>
        <w:t> </w:t>
      </w:r>
      <w:r>
        <w:rPr>
          <w:i/>
          <w:sz w:val="24"/>
        </w:rPr>
        <w:t>needs</w:t>
      </w:r>
      <w:r>
        <w:rPr>
          <w:i/>
          <w:spacing w:val="-8"/>
          <w:sz w:val="24"/>
        </w:rPr>
        <w:t> </w:t>
      </w:r>
      <w:r>
        <w:rPr>
          <w:i/>
          <w:sz w:val="24"/>
        </w:rPr>
        <w:t>to</w:t>
      </w:r>
      <w:r>
        <w:rPr>
          <w:i/>
          <w:spacing w:val="-7"/>
          <w:sz w:val="24"/>
        </w:rPr>
        <w:t> </w:t>
      </w:r>
      <w:r>
        <w:rPr>
          <w:i/>
          <w:sz w:val="24"/>
        </w:rPr>
        <w:t>be</w:t>
      </w:r>
      <w:r>
        <w:rPr>
          <w:i/>
          <w:spacing w:val="-7"/>
          <w:sz w:val="24"/>
        </w:rPr>
        <w:t> </w:t>
      </w:r>
      <w:r>
        <w:rPr>
          <w:i/>
          <w:sz w:val="24"/>
        </w:rPr>
        <w:t>regulated,</w:t>
      </w:r>
      <w:r>
        <w:rPr>
          <w:i/>
          <w:spacing w:val="-7"/>
          <w:sz w:val="24"/>
        </w:rPr>
        <w:t> </w:t>
      </w:r>
      <w:r>
        <w:rPr>
          <w:i/>
          <w:sz w:val="24"/>
        </w:rPr>
        <w:t>not</w:t>
      </w:r>
      <w:r>
        <w:rPr>
          <w:i/>
          <w:spacing w:val="-7"/>
          <w:sz w:val="24"/>
        </w:rPr>
        <w:t> </w:t>
      </w:r>
      <w:r>
        <w:rPr>
          <w:i/>
          <w:sz w:val="24"/>
        </w:rPr>
        <w:t>tacitly</w:t>
      </w:r>
      <w:r>
        <w:rPr>
          <w:i/>
          <w:spacing w:val="-8"/>
          <w:sz w:val="24"/>
        </w:rPr>
        <w:t> </w:t>
      </w:r>
      <w:r>
        <w:rPr>
          <w:i/>
          <w:sz w:val="24"/>
        </w:rPr>
        <w:t>and</w:t>
      </w:r>
      <w:r>
        <w:rPr>
          <w:i/>
          <w:spacing w:val="-7"/>
          <w:sz w:val="24"/>
        </w:rPr>
        <w:t> </w:t>
      </w:r>
      <w:r>
        <w:rPr>
          <w:i/>
          <w:sz w:val="24"/>
        </w:rPr>
        <w:t>implicitly</w:t>
      </w:r>
      <w:r>
        <w:rPr>
          <w:i/>
          <w:spacing w:val="-8"/>
          <w:sz w:val="24"/>
        </w:rPr>
        <w:t> </w:t>
      </w:r>
      <w:r>
        <w:rPr>
          <w:i/>
          <w:sz w:val="24"/>
        </w:rPr>
        <w:t>condoned. </w:t>
      </w:r>
      <w:r>
        <w:rPr>
          <w:i/>
          <w:sz w:val="24"/>
        </w:rPr>
        <w:t>This does NOT require massive</w:t>
      </w:r>
      <w:r>
        <w:rPr>
          <w:i/>
          <w:spacing w:val="-12"/>
          <w:sz w:val="24"/>
        </w:rPr>
        <w:t> </w:t>
      </w:r>
      <w:r>
        <w:rPr>
          <w:i/>
          <w:sz w:val="24"/>
        </w:rPr>
        <w:t>regulation.</w:t>
      </w:r>
    </w:p>
    <w:p>
      <w:pPr>
        <w:spacing w:line="276" w:lineRule="auto" w:before="1"/>
        <w:ind w:left="240" w:right="109" w:firstLine="0"/>
        <w:jc w:val="both"/>
        <w:rPr>
          <w:i/>
          <w:sz w:val="24"/>
        </w:rPr>
      </w:pPr>
      <w:r>
        <w:rPr>
          <w:i/>
          <w:sz w:val="24"/>
        </w:rPr>
        <w:t>It</w:t>
      </w:r>
      <w:r>
        <w:rPr>
          <w:i/>
          <w:spacing w:val="-4"/>
          <w:sz w:val="24"/>
        </w:rPr>
        <w:t> </w:t>
      </w:r>
      <w:r>
        <w:rPr>
          <w:i/>
          <w:sz w:val="24"/>
        </w:rPr>
        <w:t>does</w:t>
      </w:r>
      <w:r>
        <w:rPr>
          <w:i/>
          <w:spacing w:val="-4"/>
          <w:sz w:val="24"/>
        </w:rPr>
        <w:t> </w:t>
      </w:r>
      <w:r>
        <w:rPr>
          <w:i/>
          <w:sz w:val="24"/>
        </w:rPr>
        <w:t>require</w:t>
      </w:r>
      <w:r>
        <w:rPr>
          <w:i/>
          <w:spacing w:val="-6"/>
          <w:sz w:val="24"/>
        </w:rPr>
        <w:t> </w:t>
      </w:r>
      <w:r>
        <w:rPr>
          <w:i/>
          <w:sz w:val="24"/>
        </w:rPr>
        <w:t>a</w:t>
      </w:r>
      <w:r>
        <w:rPr>
          <w:i/>
          <w:spacing w:val="-4"/>
          <w:sz w:val="24"/>
        </w:rPr>
        <w:t> </w:t>
      </w:r>
      <w:r>
        <w:rPr>
          <w:i/>
          <w:sz w:val="24"/>
        </w:rPr>
        <w:t>reframing</w:t>
      </w:r>
      <w:r>
        <w:rPr>
          <w:i/>
          <w:spacing w:val="-3"/>
          <w:sz w:val="24"/>
        </w:rPr>
        <w:t> </w:t>
      </w:r>
      <w:r>
        <w:rPr>
          <w:i/>
          <w:sz w:val="24"/>
        </w:rPr>
        <w:t>of</w:t>
      </w:r>
      <w:r>
        <w:rPr>
          <w:i/>
          <w:spacing w:val="-6"/>
          <w:sz w:val="24"/>
        </w:rPr>
        <w:t> </w:t>
      </w:r>
      <w:r>
        <w:rPr>
          <w:i/>
          <w:sz w:val="24"/>
        </w:rPr>
        <w:t>the</w:t>
      </w:r>
      <w:r>
        <w:rPr>
          <w:i/>
          <w:spacing w:val="-6"/>
          <w:sz w:val="24"/>
        </w:rPr>
        <w:t> </w:t>
      </w:r>
      <w:r>
        <w:rPr>
          <w:i/>
          <w:sz w:val="24"/>
        </w:rPr>
        <w:t>issues</w:t>
      </w:r>
      <w:r>
        <w:rPr>
          <w:i/>
          <w:spacing w:val="-7"/>
          <w:sz w:val="24"/>
        </w:rPr>
        <w:t> </w:t>
      </w:r>
      <w:r>
        <w:rPr>
          <w:i/>
          <w:sz w:val="24"/>
        </w:rPr>
        <w:t>rather</w:t>
      </w:r>
      <w:r>
        <w:rPr>
          <w:i/>
          <w:spacing w:val="-5"/>
          <w:sz w:val="24"/>
        </w:rPr>
        <w:t> </w:t>
      </w:r>
      <w:r>
        <w:rPr>
          <w:i/>
          <w:sz w:val="24"/>
        </w:rPr>
        <w:t>than</w:t>
      </w:r>
      <w:r>
        <w:rPr>
          <w:i/>
          <w:spacing w:val="-4"/>
          <w:sz w:val="24"/>
        </w:rPr>
        <w:t> </w:t>
      </w:r>
      <w:r>
        <w:rPr>
          <w:i/>
          <w:sz w:val="24"/>
        </w:rPr>
        <w:t>a</w:t>
      </w:r>
      <w:r>
        <w:rPr>
          <w:i/>
          <w:spacing w:val="-6"/>
          <w:sz w:val="24"/>
        </w:rPr>
        <w:t> </w:t>
      </w:r>
      <w:r>
        <w:rPr>
          <w:i/>
          <w:sz w:val="24"/>
        </w:rPr>
        <w:t>misreading</w:t>
      </w:r>
      <w:r>
        <w:rPr>
          <w:i/>
          <w:spacing w:val="-3"/>
          <w:sz w:val="24"/>
        </w:rPr>
        <w:t> </w:t>
      </w:r>
      <w:r>
        <w:rPr>
          <w:i/>
          <w:sz w:val="24"/>
        </w:rPr>
        <w:t>and</w:t>
      </w:r>
      <w:r>
        <w:rPr>
          <w:i/>
          <w:spacing w:val="-4"/>
          <w:sz w:val="24"/>
        </w:rPr>
        <w:t> </w:t>
      </w:r>
      <w:r>
        <w:rPr>
          <w:i/>
          <w:sz w:val="24"/>
        </w:rPr>
        <w:t>explaining</w:t>
      </w:r>
      <w:r>
        <w:rPr>
          <w:i/>
          <w:spacing w:val="-4"/>
          <w:sz w:val="24"/>
        </w:rPr>
        <w:t> </w:t>
      </w:r>
      <w:r>
        <w:rPr>
          <w:i/>
          <w:sz w:val="24"/>
        </w:rPr>
        <w:t>away</w:t>
      </w:r>
      <w:r>
        <w:rPr>
          <w:i/>
          <w:spacing w:val="0"/>
          <w:sz w:val="24"/>
        </w:rPr>
        <w:t> </w:t>
      </w:r>
      <w:r>
        <w:rPr>
          <w:i/>
          <w:sz w:val="24"/>
        </w:rPr>
        <w:t>of </w:t>
      </w:r>
      <w:r>
        <w:rPr>
          <w:i/>
          <w:sz w:val="24"/>
        </w:rPr>
        <w:t>the data that is presenting itself. The charters that do not conduct related-party dealings deserve</w:t>
      </w:r>
      <w:r>
        <w:rPr>
          <w:i/>
          <w:spacing w:val="-5"/>
          <w:sz w:val="24"/>
        </w:rPr>
        <w:t> </w:t>
      </w:r>
      <w:r>
        <w:rPr>
          <w:i/>
          <w:sz w:val="24"/>
        </w:rPr>
        <w:t>a</w:t>
      </w:r>
      <w:r>
        <w:rPr>
          <w:i/>
          <w:spacing w:val="-3"/>
          <w:sz w:val="24"/>
        </w:rPr>
        <w:t> </w:t>
      </w:r>
      <w:r>
        <w:rPr>
          <w:i/>
          <w:sz w:val="24"/>
        </w:rPr>
        <w:t>level</w:t>
      </w:r>
      <w:r>
        <w:rPr>
          <w:i/>
          <w:spacing w:val="-4"/>
          <w:sz w:val="24"/>
        </w:rPr>
        <w:t> </w:t>
      </w:r>
      <w:r>
        <w:rPr>
          <w:i/>
          <w:sz w:val="24"/>
        </w:rPr>
        <w:t>playing</w:t>
      </w:r>
      <w:r>
        <w:rPr>
          <w:i/>
          <w:spacing w:val="-5"/>
          <w:sz w:val="24"/>
        </w:rPr>
        <w:t> </w:t>
      </w:r>
      <w:r>
        <w:rPr>
          <w:i/>
          <w:sz w:val="24"/>
        </w:rPr>
        <w:t>field</w:t>
      </w:r>
      <w:r>
        <w:rPr>
          <w:i/>
          <w:spacing w:val="-3"/>
          <w:sz w:val="24"/>
        </w:rPr>
        <w:t> </w:t>
      </w:r>
      <w:r>
        <w:rPr>
          <w:i/>
          <w:sz w:val="24"/>
        </w:rPr>
        <w:t>as</w:t>
      </w:r>
      <w:r>
        <w:rPr>
          <w:i/>
          <w:spacing w:val="-6"/>
          <w:sz w:val="24"/>
        </w:rPr>
        <w:t> </w:t>
      </w:r>
      <w:r>
        <w:rPr>
          <w:i/>
          <w:sz w:val="24"/>
        </w:rPr>
        <w:t>do</w:t>
      </w:r>
      <w:r>
        <w:rPr>
          <w:i/>
          <w:spacing w:val="-5"/>
          <w:sz w:val="24"/>
        </w:rPr>
        <w:t> </w:t>
      </w:r>
      <w:r>
        <w:rPr>
          <w:i/>
          <w:sz w:val="24"/>
        </w:rPr>
        <w:t>the</w:t>
      </w:r>
      <w:r>
        <w:rPr>
          <w:i/>
          <w:spacing w:val="-3"/>
          <w:sz w:val="24"/>
        </w:rPr>
        <w:t> </w:t>
      </w:r>
      <w:r>
        <w:rPr>
          <w:i/>
          <w:sz w:val="24"/>
        </w:rPr>
        <w:t>“competing”</w:t>
      </w:r>
      <w:r>
        <w:rPr>
          <w:i/>
          <w:spacing w:val="-7"/>
          <w:sz w:val="24"/>
        </w:rPr>
        <w:t> </w:t>
      </w:r>
      <w:r>
        <w:rPr>
          <w:i/>
          <w:sz w:val="24"/>
        </w:rPr>
        <w:t>public</w:t>
      </w:r>
      <w:r>
        <w:rPr>
          <w:i/>
          <w:spacing w:val="-3"/>
          <w:sz w:val="24"/>
        </w:rPr>
        <w:t> </w:t>
      </w:r>
      <w:r>
        <w:rPr>
          <w:i/>
          <w:sz w:val="24"/>
        </w:rPr>
        <w:t>school</w:t>
      </w:r>
      <w:r>
        <w:rPr>
          <w:i/>
          <w:spacing w:val="-39"/>
          <w:sz w:val="24"/>
        </w:rPr>
        <w:t> </w:t>
      </w:r>
      <w:r>
        <w:rPr>
          <w:i/>
          <w:sz w:val="24"/>
        </w:rPr>
        <w:t>districts.</w:t>
      </w:r>
    </w:p>
    <w:p>
      <w:pPr>
        <w:spacing w:before="201" w:after="32"/>
        <w:ind w:left="240" w:right="0" w:firstLine="0"/>
        <w:jc w:val="both"/>
        <w:rPr>
          <w:b/>
          <w:sz w:val="22"/>
        </w:rPr>
      </w:pPr>
      <w:bookmarkStart w:name="_bookmark22" w:id="23"/>
      <w:bookmarkEnd w:id="23"/>
      <w:r>
        <w:rPr/>
      </w:r>
      <w:r>
        <w:rPr>
          <w:b/>
          <w:color w:val="4F81BC"/>
          <w:sz w:val="22"/>
        </w:rPr>
        <w:t>Statistics on Related Party Transactions</w:t>
      </w:r>
    </w:p>
    <w:tbl>
      <w:tblPr>
        <w:tblW w:w="0" w:type="auto"/>
        <w:jc w:val="left"/>
        <w:tblInd w:w="108"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4496"/>
        <w:gridCol w:w="4866"/>
      </w:tblGrid>
      <w:tr>
        <w:trPr>
          <w:trHeight w:val="340" w:hRule="atLeast"/>
        </w:trPr>
        <w:tc>
          <w:tcPr>
            <w:tcW w:w="4496" w:type="dxa"/>
            <w:tcBorders>
              <w:left w:val="nil"/>
              <w:bottom w:val="nil"/>
              <w:right w:val="nil"/>
            </w:tcBorders>
            <w:shd w:val="clear" w:color="auto" w:fill="000000"/>
          </w:tcPr>
          <w:p>
            <w:pPr>
              <w:pStyle w:val="TableParagraph"/>
              <w:spacing w:before="109"/>
              <w:ind w:left="512" w:right="508"/>
              <w:rPr>
                <w:b/>
                <w:sz w:val="18"/>
              </w:rPr>
            </w:pPr>
            <w:r>
              <w:rPr>
                <w:b/>
                <w:color w:val="FFFFFF"/>
                <w:sz w:val="18"/>
              </w:rPr>
              <w:t># Dealing with Related Party</w:t>
            </w:r>
          </w:p>
        </w:tc>
        <w:tc>
          <w:tcPr>
            <w:tcW w:w="4866" w:type="dxa"/>
            <w:tcBorders>
              <w:left w:val="nil"/>
              <w:bottom w:val="nil"/>
              <w:right w:val="nil"/>
            </w:tcBorders>
            <w:shd w:val="clear" w:color="auto" w:fill="000000"/>
          </w:tcPr>
          <w:p>
            <w:pPr>
              <w:pStyle w:val="TableParagraph"/>
              <w:spacing w:before="109"/>
              <w:ind w:left="482" w:right="471"/>
              <w:rPr>
                <w:b/>
                <w:sz w:val="18"/>
              </w:rPr>
            </w:pPr>
            <w:r>
              <w:rPr>
                <w:b/>
                <w:color w:val="FFFFFF"/>
                <w:sz w:val="18"/>
              </w:rPr>
              <w:t>Small or No Dealings with a Related Party</w:t>
            </w:r>
          </w:p>
        </w:tc>
      </w:tr>
      <w:tr>
        <w:trPr>
          <w:trHeight w:val="300" w:hRule="atLeast"/>
        </w:trPr>
        <w:tc>
          <w:tcPr>
            <w:tcW w:w="4496" w:type="dxa"/>
            <w:tcBorders>
              <w:top w:val="single" w:sz="18" w:space="0" w:color="000000"/>
              <w:left w:val="single" w:sz="8" w:space="0" w:color="000000"/>
              <w:bottom w:val="single" w:sz="8" w:space="0" w:color="000000"/>
              <w:right w:val="single" w:sz="8" w:space="0" w:color="000000"/>
            </w:tcBorders>
          </w:tcPr>
          <w:p>
            <w:pPr>
              <w:pStyle w:val="TableParagraph"/>
              <w:spacing w:line="222" w:lineRule="exact" w:before="76"/>
              <w:ind w:left="1876" w:right="1879"/>
              <w:rPr>
                <w:b/>
                <w:sz w:val="20"/>
              </w:rPr>
            </w:pPr>
            <w:r>
              <w:rPr>
                <w:b/>
                <w:sz w:val="20"/>
              </w:rPr>
              <w:t>309</w:t>
            </w:r>
          </w:p>
        </w:tc>
        <w:tc>
          <w:tcPr>
            <w:tcW w:w="4866" w:type="dxa"/>
            <w:tcBorders>
              <w:top w:val="single" w:sz="18" w:space="0" w:color="000000"/>
              <w:left w:val="single" w:sz="8" w:space="0" w:color="000000"/>
              <w:bottom w:val="single" w:sz="8" w:space="0" w:color="000000"/>
              <w:right w:val="single" w:sz="8" w:space="0" w:color="000000"/>
            </w:tcBorders>
          </w:tcPr>
          <w:p>
            <w:pPr>
              <w:pStyle w:val="TableParagraph"/>
              <w:spacing w:line="222" w:lineRule="exact" w:before="76"/>
              <w:ind w:left="2061" w:right="2064"/>
              <w:rPr>
                <w:b/>
                <w:sz w:val="20"/>
              </w:rPr>
            </w:pPr>
            <w:r>
              <w:rPr>
                <w:b/>
                <w:sz w:val="20"/>
              </w:rPr>
              <w:t>91</w:t>
            </w:r>
          </w:p>
        </w:tc>
      </w:tr>
      <w:tr>
        <w:trPr>
          <w:trHeight w:val="300" w:hRule="atLeast"/>
        </w:trPr>
        <w:tc>
          <w:tcPr>
            <w:tcW w:w="9362" w:type="dxa"/>
            <w:gridSpan w:val="2"/>
            <w:tcBorders>
              <w:top w:val="single" w:sz="8" w:space="0" w:color="000000"/>
              <w:left w:val="nil"/>
              <w:bottom w:val="single" w:sz="24" w:space="0" w:color="5B9BD4"/>
              <w:right w:val="nil"/>
            </w:tcBorders>
          </w:tcPr>
          <w:p>
            <w:pPr>
              <w:pStyle w:val="TableParagraph"/>
              <w:jc w:val="left"/>
              <w:rPr>
                <w:rFonts w:ascii="Times New Roman"/>
                <w:sz w:val="22"/>
              </w:rPr>
            </w:pPr>
          </w:p>
        </w:tc>
      </w:tr>
      <w:tr>
        <w:trPr>
          <w:trHeight w:val="420" w:hRule="atLeast"/>
        </w:trPr>
        <w:tc>
          <w:tcPr>
            <w:tcW w:w="4496" w:type="dxa"/>
            <w:tcBorders>
              <w:top w:val="single" w:sz="18" w:space="0" w:color="5B9BD4"/>
              <w:left w:val="nil"/>
              <w:bottom w:val="nil"/>
              <w:right w:val="nil"/>
            </w:tcBorders>
            <w:shd w:val="clear" w:color="auto" w:fill="000000"/>
          </w:tcPr>
          <w:p>
            <w:pPr>
              <w:pStyle w:val="TableParagraph"/>
              <w:jc w:val="left"/>
              <w:rPr>
                <w:b/>
                <w:sz w:val="17"/>
              </w:rPr>
            </w:pPr>
          </w:p>
          <w:p>
            <w:pPr>
              <w:pStyle w:val="TableParagraph"/>
              <w:spacing w:line="205" w:lineRule="exact"/>
              <w:ind w:left="512" w:right="512"/>
              <w:rPr>
                <w:b/>
                <w:sz w:val="18"/>
              </w:rPr>
            </w:pPr>
            <w:r>
              <w:rPr>
                <w:b/>
                <w:color w:val="FFFFFF"/>
                <w:sz w:val="18"/>
              </w:rPr>
              <w:t>Percentage Dealing with Related Parties</w:t>
            </w:r>
          </w:p>
        </w:tc>
        <w:tc>
          <w:tcPr>
            <w:tcW w:w="4866" w:type="dxa"/>
            <w:tcBorders>
              <w:top w:val="single" w:sz="18" w:space="0" w:color="5B9BD4"/>
              <w:left w:val="nil"/>
              <w:bottom w:val="nil"/>
              <w:right w:val="nil"/>
            </w:tcBorders>
            <w:shd w:val="clear" w:color="auto" w:fill="000000"/>
          </w:tcPr>
          <w:p>
            <w:pPr>
              <w:pStyle w:val="TableParagraph"/>
              <w:spacing w:line="230" w:lineRule="auto" w:before="3"/>
              <w:ind w:left="2131" w:right="295" w:hanging="1822"/>
              <w:jc w:val="left"/>
              <w:rPr>
                <w:b/>
                <w:sz w:val="18"/>
              </w:rPr>
            </w:pPr>
            <w:r>
              <w:rPr>
                <w:b/>
                <w:color w:val="FFFFFF"/>
                <w:sz w:val="18"/>
              </w:rPr>
              <w:t>Percentage with Small or No Dealing with Related Parties</w:t>
            </w:r>
          </w:p>
        </w:tc>
      </w:tr>
      <w:tr>
        <w:trPr>
          <w:trHeight w:val="320" w:hRule="atLeast"/>
        </w:trPr>
        <w:tc>
          <w:tcPr>
            <w:tcW w:w="4496" w:type="dxa"/>
            <w:tcBorders>
              <w:top w:val="single" w:sz="18" w:space="0" w:color="000000"/>
              <w:left w:val="single" w:sz="8" w:space="0" w:color="000000"/>
              <w:bottom w:val="single" w:sz="8" w:space="0" w:color="000000"/>
              <w:right w:val="single" w:sz="8" w:space="0" w:color="000000"/>
            </w:tcBorders>
          </w:tcPr>
          <w:p>
            <w:pPr>
              <w:pStyle w:val="TableParagraph"/>
              <w:spacing w:before="60"/>
              <w:ind w:left="1878" w:right="1879"/>
              <w:rPr>
                <w:b/>
                <w:sz w:val="20"/>
              </w:rPr>
            </w:pPr>
            <w:r>
              <w:rPr>
                <w:b/>
                <w:sz w:val="20"/>
              </w:rPr>
              <w:t>77%</w:t>
            </w:r>
          </w:p>
        </w:tc>
        <w:tc>
          <w:tcPr>
            <w:tcW w:w="4866" w:type="dxa"/>
            <w:tcBorders>
              <w:top w:val="single" w:sz="18" w:space="0" w:color="000000"/>
              <w:left w:val="single" w:sz="8" w:space="0" w:color="000000"/>
              <w:bottom w:val="single" w:sz="8" w:space="0" w:color="000000"/>
              <w:right w:val="single" w:sz="8" w:space="0" w:color="000000"/>
            </w:tcBorders>
          </w:tcPr>
          <w:p>
            <w:pPr>
              <w:pStyle w:val="TableParagraph"/>
              <w:spacing w:before="60"/>
              <w:ind w:left="2063" w:right="2064"/>
              <w:rPr>
                <w:b/>
                <w:sz w:val="20"/>
              </w:rPr>
            </w:pPr>
            <w:r>
              <w:rPr>
                <w:b/>
                <w:sz w:val="20"/>
              </w:rPr>
              <w:t>23%</w:t>
            </w:r>
          </w:p>
        </w:tc>
      </w:tr>
    </w:tbl>
    <w:p>
      <w:pPr>
        <w:pStyle w:val="BodyText"/>
        <w:rPr>
          <w:b/>
        </w:rPr>
      </w:pPr>
    </w:p>
    <w:p>
      <w:pPr>
        <w:pStyle w:val="BodyText"/>
        <w:spacing w:line="276" w:lineRule="auto" w:before="202"/>
        <w:ind w:left="240" w:right="108"/>
        <w:jc w:val="both"/>
      </w:pPr>
      <w:r>
        <w:rPr/>
        <w:t>Charters</w:t>
      </w:r>
      <w:r>
        <w:rPr>
          <w:spacing w:val="-9"/>
        </w:rPr>
        <w:t> </w:t>
      </w:r>
      <w:r>
        <w:rPr/>
        <w:t>were</w:t>
      </w:r>
      <w:r>
        <w:rPr>
          <w:spacing w:val="-8"/>
        </w:rPr>
        <w:t> </w:t>
      </w:r>
      <w:r>
        <w:rPr/>
        <w:t>counted</w:t>
      </w:r>
      <w:r>
        <w:rPr>
          <w:spacing w:val="-10"/>
        </w:rPr>
        <w:t> </w:t>
      </w:r>
      <w:r>
        <w:rPr/>
        <w:t>as</w:t>
      </w:r>
      <w:r>
        <w:rPr>
          <w:spacing w:val="-8"/>
        </w:rPr>
        <w:t> </w:t>
      </w:r>
      <w:r>
        <w:rPr/>
        <w:t>a</w:t>
      </w:r>
      <w:r>
        <w:rPr>
          <w:spacing w:val="-7"/>
        </w:rPr>
        <w:t> </w:t>
      </w:r>
      <w:r>
        <w:rPr/>
        <w:t>charter</w:t>
      </w:r>
      <w:r>
        <w:rPr>
          <w:spacing w:val="-9"/>
        </w:rPr>
        <w:t> </w:t>
      </w:r>
      <w:r>
        <w:rPr/>
        <w:t>entity</w:t>
      </w:r>
      <w:r>
        <w:rPr>
          <w:spacing w:val="-10"/>
        </w:rPr>
        <w:t> </w:t>
      </w:r>
      <w:r>
        <w:rPr/>
        <w:t>if</w:t>
      </w:r>
      <w:r>
        <w:rPr>
          <w:spacing w:val="-7"/>
        </w:rPr>
        <w:t> </w:t>
      </w:r>
      <w:r>
        <w:rPr/>
        <w:t>they</w:t>
      </w:r>
      <w:r>
        <w:rPr>
          <w:spacing w:val="-11"/>
        </w:rPr>
        <w:t> </w:t>
      </w:r>
      <w:r>
        <w:rPr/>
        <w:t>had</w:t>
      </w:r>
      <w:r>
        <w:rPr>
          <w:spacing w:val="-7"/>
        </w:rPr>
        <w:t> </w:t>
      </w:r>
      <w:r>
        <w:rPr/>
        <w:t>an</w:t>
      </w:r>
      <w:r>
        <w:rPr>
          <w:spacing w:val="-7"/>
        </w:rPr>
        <w:t> </w:t>
      </w:r>
      <w:r>
        <w:rPr/>
        <w:t>independent</w:t>
      </w:r>
      <w:r>
        <w:rPr>
          <w:spacing w:val="-10"/>
        </w:rPr>
        <w:t> </w:t>
      </w:r>
      <w:r>
        <w:rPr/>
        <w:t>charter.</w:t>
      </w:r>
      <w:r>
        <w:rPr>
          <w:spacing w:val="-8"/>
        </w:rPr>
        <w:t> </w:t>
      </w:r>
      <w:r>
        <w:rPr/>
        <w:t>This</w:t>
      </w:r>
      <w:r>
        <w:rPr>
          <w:spacing w:val="-9"/>
        </w:rPr>
        <w:t> </w:t>
      </w:r>
      <w:r>
        <w:rPr/>
        <w:t>way</w:t>
      </w:r>
      <w:r>
        <w:rPr>
          <w:spacing w:val="-8"/>
        </w:rPr>
        <w:t> </w:t>
      </w:r>
      <w:r>
        <w:rPr/>
        <w:t>of counting negated the consolidation effect of consolidated audits. See </w:t>
      </w:r>
      <w:hyperlink w:history="true" w:anchor="_bookmark77">
        <w:r>
          <w:rPr>
            <w:color w:val="1F487C"/>
          </w:rPr>
          <w:t>Addendum B</w:t>
        </w:r>
      </w:hyperlink>
      <w:r>
        <w:rPr>
          <w:color w:val="1F487C"/>
        </w:rPr>
        <w:t> </w:t>
      </w:r>
      <w:r>
        <w:rPr/>
        <w:t>for detail on the criteria used to evaluate related party</w:t>
      </w:r>
      <w:r>
        <w:rPr>
          <w:spacing w:val="-51"/>
        </w:rPr>
        <w:t> </w:t>
      </w:r>
      <w:r>
        <w:rPr/>
        <w:t>transactions.</w:t>
      </w:r>
    </w:p>
    <w:p>
      <w:pPr>
        <w:spacing w:before="197"/>
        <w:ind w:left="240" w:right="0" w:firstLine="0"/>
        <w:jc w:val="both"/>
        <w:rPr>
          <w:b/>
          <w:sz w:val="22"/>
        </w:rPr>
      </w:pPr>
      <w:bookmarkStart w:name="_bookmark23" w:id="24"/>
      <w:bookmarkEnd w:id="24"/>
      <w:r>
        <w:rPr/>
      </w:r>
      <w:r>
        <w:rPr>
          <w:b/>
          <w:color w:val="4F81BC"/>
          <w:sz w:val="22"/>
        </w:rPr>
        <w:t>The Rules for Public School Administration and Governance</w:t>
      </w:r>
    </w:p>
    <w:p>
      <w:pPr>
        <w:pStyle w:val="BodyText"/>
        <w:spacing w:before="40"/>
        <w:ind w:left="240"/>
        <w:jc w:val="both"/>
      </w:pPr>
      <w:r>
        <w:rPr/>
        <w:t>Public district schools and charter schools play by different rules as illustrated in Table</w:t>
      </w:r>
    </w:p>
    <w:p>
      <w:pPr>
        <w:pStyle w:val="ListParagraph"/>
        <w:numPr>
          <w:ilvl w:val="2"/>
          <w:numId w:val="4"/>
        </w:numPr>
        <w:tabs>
          <w:tab w:pos="546" w:val="left" w:leader="none"/>
        </w:tabs>
        <w:spacing w:line="276" w:lineRule="auto" w:before="41" w:after="0"/>
        <w:ind w:left="240" w:right="109" w:firstLine="0"/>
        <w:jc w:val="both"/>
        <w:rPr>
          <w:sz w:val="24"/>
        </w:rPr>
      </w:pPr>
      <w:r>
        <w:rPr>
          <w:sz w:val="24"/>
        </w:rPr>
        <w:t>Expenditures</w:t>
      </w:r>
      <w:r>
        <w:rPr>
          <w:spacing w:val="-20"/>
          <w:sz w:val="24"/>
        </w:rPr>
        <w:t> </w:t>
      </w:r>
      <w:r>
        <w:rPr>
          <w:sz w:val="24"/>
        </w:rPr>
        <w:t>and</w:t>
      </w:r>
      <w:r>
        <w:rPr>
          <w:spacing w:val="-19"/>
          <w:sz w:val="24"/>
        </w:rPr>
        <w:t> </w:t>
      </w:r>
      <w:r>
        <w:rPr>
          <w:sz w:val="24"/>
        </w:rPr>
        <w:t>oversight</w:t>
      </w:r>
      <w:r>
        <w:rPr>
          <w:spacing w:val="-17"/>
          <w:sz w:val="24"/>
        </w:rPr>
        <w:t> </w:t>
      </w:r>
      <w:r>
        <w:rPr>
          <w:sz w:val="24"/>
        </w:rPr>
        <w:t>in</w:t>
      </w:r>
      <w:r>
        <w:rPr>
          <w:spacing w:val="-17"/>
          <w:sz w:val="24"/>
        </w:rPr>
        <w:t> </w:t>
      </w:r>
      <w:r>
        <w:rPr>
          <w:sz w:val="24"/>
        </w:rPr>
        <w:t>public</w:t>
      </w:r>
      <w:r>
        <w:rPr>
          <w:spacing w:val="-18"/>
          <w:sz w:val="24"/>
        </w:rPr>
        <w:t> </w:t>
      </w:r>
      <w:r>
        <w:rPr>
          <w:sz w:val="24"/>
        </w:rPr>
        <w:t>district</w:t>
      </w:r>
      <w:r>
        <w:rPr>
          <w:spacing w:val="-17"/>
          <w:sz w:val="24"/>
        </w:rPr>
        <w:t> </w:t>
      </w:r>
      <w:r>
        <w:rPr>
          <w:sz w:val="24"/>
        </w:rPr>
        <w:t>schools</w:t>
      </w:r>
      <w:r>
        <w:rPr>
          <w:spacing w:val="-21"/>
          <w:sz w:val="24"/>
        </w:rPr>
        <w:t> </w:t>
      </w:r>
      <w:r>
        <w:rPr>
          <w:sz w:val="24"/>
        </w:rPr>
        <w:t>face</w:t>
      </w:r>
      <w:r>
        <w:rPr>
          <w:spacing w:val="-17"/>
          <w:sz w:val="24"/>
        </w:rPr>
        <w:t> </w:t>
      </w:r>
      <w:r>
        <w:rPr>
          <w:sz w:val="24"/>
        </w:rPr>
        <w:t>a</w:t>
      </w:r>
      <w:r>
        <w:rPr>
          <w:spacing w:val="-19"/>
          <w:sz w:val="24"/>
        </w:rPr>
        <w:t> </w:t>
      </w:r>
      <w:r>
        <w:rPr>
          <w:sz w:val="24"/>
        </w:rPr>
        <w:t>far</w:t>
      </w:r>
      <w:r>
        <w:rPr>
          <w:spacing w:val="-18"/>
          <w:sz w:val="24"/>
        </w:rPr>
        <w:t> </w:t>
      </w:r>
      <w:r>
        <w:rPr>
          <w:sz w:val="24"/>
        </w:rPr>
        <w:t>higher</w:t>
      </w:r>
      <w:r>
        <w:rPr>
          <w:spacing w:val="-18"/>
          <w:sz w:val="24"/>
        </w:rPr>
        <w:t> </w:t>
      </w:r>
      <w:r>
        <w:rPr>
          <w:sz w:val="24"/>
        </w:rPr>
        <w:t>bar</w:t>
      </w:r>
      <w:r>
        <w:rPr>
          <w:spacing w:val="-18"/>
          <w:sz w:val="24"/>
        </w:rPr>
        <w:t> </w:t>
      </w:r>
      <w:r>
        <w:rPr>
          <w:sz w:val="24"/>
        </w:rPr>
        <w:t>than</w:t>
      </w:r>
      <w:r>
        <w:rPr>
          <w:spacing w:val="-19"/>
          <w:sz w:val="24"/>
        </w:rPr>
        <w:t> </w:t>
      </w:r>
      <w:r>
        <w:rPr>
          <w:sz w:val="24"/>
        </w:rPr>
        <w:t>for</w:t>
      </w:r>
      <w:r>
        <w:rPr>
          <w:spacing w:val="-18"/>
          <w:sz w:val="24"/>
        </w:rPr>
        <w:t> </w:t>
      </w:r>
      <w:r>
        <w:rPr>
          <w:sz w:val="24"/>
        </w:rPr>
        <w:t>public charter schools. Conflicts of interest that would not be allowed in a public district school setting, where the folks who receive financial benefits also make decisions that provide them financial benefits, whether by salary or contracts, are a fairly normal occurrence in Arizona’s</w:t>
      </w:r>
      <w:r>
        <w:rPr>
          <w:spacing w:val="-17"/>
          <w:sz w:val="24"/>
        </w:rPr>
        <w:t> </w:t>
      </w:r>
      <w:r>
        <w:rPr>
          <w:sz w:val="24"/>
        </w:rPr>
        <w:t>charter</w:t>
      </w:r>
      <w:r>
        <w:rPr>
          <w:spacing w:val="-17"/>
          <w:sz w:val="24"/>
        </w:rPr>
        <w:t> </w:t>
      </w:r>
      <w:r>
        <w:rPr>
          <w:sz w:val="24"/>
        </w:rPr>
        <w:t>schools.</w:t>
      </w:r>
      <w:r>
        <w:rPr>
          <w:spacing w:val="-16"/>
          <w:sz w:val="24"/>
        </w:rPr>
        <w:t> </w:t>
      </w:r>
      <w:r>
        <w:rPr>
          <w:sz w:val="24"/>
        </w:rPr>
        <w:t>Most</w:t>
      </w:r>
      <w:r>
        <w:rPr>
          <w:spacing w:val="-16"/>
          <w:sz w:val="24"/>
        </w:rPr>
        <w:t> </w:t>
      </w:r>
      <w:r>
        <w:rPr>
          <w:sz w:val="24"/>
        </w:rPr>
        <w:t>notably</w:t>
      </w:r>
      <w:r>
        <w:rPr>
          <w:spacing w:val="-19"/>
          <w:sz w:val="24"/>
        </w:rPr>
        <w:t> </w:t>
      </w:r>
      <w:r>
        <w:rPr>
          <w:sz w:val="24"/>
        </w:rPr>
        <w:t>any</w:t>
      </w:r>
      <w:r>
        <w:rPr>
          <w:spacing w:val="-19"/>
          <w:sz w:val="24"/>
        </w:rPr>
        <w:t> </w:t>
      </w:r>
      <w:r>
        <w:rPr>
          <w:sz w:val="24"/>
        </w:rPr>
        <w:t>property</w:t>
      </w:r>
      <w:r>
        <w:rPr>
          <w:spacing w:val="-19"/>
          <w:sz w:val="24"/>
        </w:rPr>
        <w:t> </w:t>
      </w:r>
      <w:r>
        <w:rPr>
          <w:sz w:val="24"/>
        </w:rPr>
        <w:t>purchase</w:t>
      </w:r>
      <w:r>
        <w:rPr>
          <w:spacing w:val="-16"/>
          <w:sz w:val="24"/>
        </w:rPr>
        <w:t> </w:t>
      </w:r>
      <w:r>
        <w:rPr>
          <w:sz w:val="24"/>
        </w:rPr>
        <w:t>arrangements</w:t>
      </w:r>
      <w:r>
        <w:rPr>
          <w:spacing w:val="-18"/>
          <w:sz w:val="24"/>
        </w:rPr>
        <w:t> </w:t>
      </w:r>
      <w:r>
        <w:rPr>
          <w:sz w:val="24"/>
        </w:rPr>
        <w:t>become</w:t>
      </w:r>
      <w:r>
        <w:rPr>
          <w:spacing w:val="-16"/>
          <w:sz w:val="24"/>
        </w:rPr>
        <w:t> </w:t>
      </w:r>
      <w:r>
        <w:rPr>
          <w:sz w:val="24"/>
        </w:rPr>
        <w:t>the personal property of the charter operators—not the public— as with a public district school.</w:t>
      </w:r>
    </w:p>
    <w:p>
      <w:pPr>
        <w:spacing w:after="0" w:line="276" w:lineRule="auto"/>
        <w:jc w:val="both"/>
        <w:rPr>
          <w:sz w:val="24"/>
        </w:rPr>
        <w:sectPr>
          <w:pgSz w:w="12240" w:h="15840"/>
          <w:pgMar w:header="740" w:footer="1002" w:top="940" w:bottom="1200" w:left="1200" w:right="1320"/>
        </w:sectPr>
      </w:pPr>
    </w:p>
    <w:p>
      <w:pPr>
        <w:pStyle w:val="BodyText"/>
        <w:spacing w:before="7"/>
        <w:rPr>
          <w:sz w:val="9"/>
        </w:rPr>
      </w:pPr>
    </w:p>
    <w:p>
      <w:pPr>
        <w:spacing w:before="94"/>
        <w:ind w:left="218" w:right="0" w:firstLine="0"/>
        <w:jc w:val="left"/>
        <w:rPr>
          <w:b/>
          <w:sz w:val="22"/>
        </w:rPr>
      </w:pPr>
      <w:bookmarkStart w:name="_bookmark24" w:id="25"/>
      <w:bookmarkEnd w:id="25"/>
      <w:r>
        <w:rPr/>
      </w:r>
      <w:r>
        <w:rPr>
          <w:b/>
          <w:color w:val="4F81BC"/>
          <w:sz w:val="22"/>
        </w:rPr>
        <w:t>Table 1: Rules for District v. Charter Schools</w:t>
      </w:r>
    </w:p>
    <w:p>
      <w:pPr>
        <w:pStyle w:val="BodyText"/>
        <w:rPr>
          <w:b/>
          <w:sz w:val="20"/>
        </w:rPr>
      </w:pPr>
    </w:p>
    <w:p>
      <w:pPr>
        <w:pStyle w:val="BodyText"/>
        <w:spacing w:before="5"/>
        <w:rPr>
          <w:b/>
          <w:sz w:val="21"/>
        </w:rPr>
      </w:pPr>
    </w:p>
    <w:tbl>
      <w:tblPr>
        <w:tblW w:w="0" w:type="auto"/>
        <w:jc w:val="left"/>
        <w:tblInd w:w="102"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CellMar>
          <w:top w:w="0" w:type="dxa"/>
          <w:left w:w="0" w:type="dxa"/>
          <w:bottom w:w="0" w:type="dxa"/>
          <w:right w:w="0" w:type="dxa"/>
        </w:tblCellMar>
        <w:tblLook w:val="01E0"/>
      </w:tblPr>
      <w:tblGrid>
        <w:gridCol w:w="2146"/>
        <w:gridCol w:w="3697"/>
        <w:gridCol w:w="3509"/>
      </w:tblGrid>
      <w:tr>
        <w:trPr>
          <w:trHeight w:val="460" w:hRule="atLeast"/>
        </w:trPr>
        <w:tc>
          <w:tcPr>
            <w:tcW w:w="2146" w:type="dxa"/>
            <w:tcBorders>
              <w:top w:val="nil"/>
              <w:left w:val="nil"/>
              <w:bottom w:val="nil"/>
              <w:right w:val="nil"/>
            </w:tcBorders>
            <w:shd w:val="clear" w:color="auto" w:fill="000000"/>
          </w:tcPr>
          <w:p>
            <w:pPr>
              <w:pStyle w:val="TableParagraph"/>
              <w:jc w:val="left"/>
              <w:rPr>
                <w:rFonts w:ascii="Times New Roman"/>
                <w:sz w:val="20"/>
              </w:rPr>
            </w:pPr>
          </w:p>
        </w:tc>
        <w:tc>
          <w:tcPr>
            <w:tcW w:w="3697" w:type="dxa"/>
            <w:tcBorders>
              <w:top w:val="nil"/>
              <w:left w:val="nil"/>
              <w:bottom w:val="nil"/>
              <w:right w:val="nil"/>
            </w:tcBorders>
            <w:shd w:val="clear" w:color="auto" w:fill="000000"/>
          </w:tcPr>
          <w:p>
            <w:pPr>
              <w:pStyle w:val="TableParagraph"/>
              <w:ind w:left="630" w:right="630"/>
              <w:rPr>
                <w:b/>
                <w:sz w:val="22"/>
              </w:rPr>
            </w:pPr>
            <w:r>
              <w:rPr>
                <w:b/>
                <w:color w:val="FFFFFF"/>
                <w:sz w:val="22"/>
              </w:rPr>
              <w:t>Public District Schools</w:t>
            </w:r>
          </w:p>
        </w:tc>
        <w:tc>
          <w:tcPr>
            <w:tcW w:w="3509" w:type="dxa"/>
            <w:tcBorders>
              <w:top w:val="nil"/>
              <w:left w:val="nil"/>
              <w:bottom w:val="nil"/>
              <w:right w:val="nil"/>
            </w:tcBorders>
            <w:shd w:val="clear" w:color="auto" w:fill="000000"/>
          </w:tcPr>
          <w:p>
            <w:pPr>
              <w:pStyle w:val="TableParagraph"/>
              <w:ind w:left="542"/>
              <w:jc w:val="left"/>
              <w:rPr>
                <w:b/>
                <w:sz w:val="22"/>
              </w:rPr>
            </w:pPr>
            <w:r>
              <w:rPr>
                <w:b/>
                <w:color w:val="FFFFFF"/>
                <w:sz w:val="22"/>
              </w:rPr>
              <w:t>Public Charter Schools</w:t>
            </w:r>
          </w:p>
        </w:tc>
      </w:tr>
      <w:tr>
        <w:trPr>
          <w:trHeight w:val="3300" w:hRule="atLeast"/>
        </w:trPr>
        <w:tc>
          <w:tcPr>
            <w:tcW w:w="2146" w:type="dxa"/>
            <w:tcBorders>
              <w:top w:val="nil"/>
            </w:tcBorders>
            <w:shd w:val="clear" w:color="auto" w:fill="CDCDCD"/>
          </w:tcPr>
          <w:p>
            <w:pPr>
              <w:pStyle w:val="TableParagraph"/>
              <w:spacing w:line="246" w:lineRule="exact"/>
              <w:ind w:left="89" w:right="86"/>
              <w:rPr>
                <w:b/>
                <w:i/>
                <w:sz w:val="22"/>
              </w:rPr>
            </w:pPr>
            <w:r>
              <w:rPr>
                <w:b/>
                <w:i/>
                <w:sz w:val="22"/>
              </w:rPr>
              <w:t>Governance</w:t>
            </w:r>
          </w:p>
        </w:tc>
        <w:tc>
          <w:tcPr>
            <w:tcW w:w="3697" w:type="dxa"/>
            <w:tcBorders>
              <w:top w:val="nil"/>
            </w:tcBorders>
            <w:shd w:val="clear" w:color="auto" w:fill="CDCDCD"/>
          </w:tcPr>
          <w:p>
            <w:pPr>
              <w:pStyle w:val="TableParagraph"/>
              <w:ind w:left="102" w:right="95"/>
              <w:jc w:val="both"/>
              <w:rPr>
                <w:b/>
                <w:sz w:val="22"/>
              </w:rPr>
            </w:pPr>
            <w:r>
              <w:rPr>
                <w:b/>
                <w:sz w:val="22"/>
              </w:rPr>
              <w:t>School Board (Size of Board Set by District), Conflict of Interest Not Allowed. The AZ School Boards Association reports that Public School Board members are not compensated.</w:t>
            </w:r>
          </w:p>
          <w:p>
            <w:pPr>
              <w:pStyle w:val="TableParagraph"/>
              <w:jc w:val="left"/>
              <w:rPr>
                <w:b/>
                <w:sz w:val="24"/>
              </w:rPr>
            </w:pPr>
          </w:p>
          <w:p>
            <w:pPr>
              <w:pStyle w:val="TableParagraph"/>
              <w:spacing w:before="6"/>
              <w:jc w:val="left"/>
              <w:rPr>
                <w:b/>
                <w:sz w:val="33"/>
              </w:rPr>
            </w:pPr>
          </w:p>
          <w:p>
            <w:pPr>
              <w:pStyle w:val="TableParagraph"/>
              <w:ind w:left="102" w:right="96"/>
              <w:jc w:val="both"/>
              <w:rPr>
                <w:b/>
                <w:sz w:val="22"/>
              </w:rPr>
            </w:pPr>
            <w:r>
              <w:rPr>
                <w:b/>
                <w:sz w:val="22"/>
              </w:rPr>
              <w:t>Superintendent of Schools is Agent of the Board.</w:t>
            </w:r>
          </w:p>
        </w:tc>
        <w:tc>
          <w:tcPr>
            <w:tcW w:w="3509" w:type="dxa"/>
            <w:tcBorders>
              <w:top w:val="nil"/>
            </w:tcBorders>
            <w:shd w:val="clear" w:color="auto" w:fill="CDCDCD"/>
          </w:tcPr>
          <w:p>
            <w:pPr>
              <w:pStyle w:val="TableParagraph"/>
              <w:ind w:left="102" w:right="95"/>
              <w:jc w:val="both"/>
              <w:rPr>
                <w:b/>
                <w:sz w:val="22"/>
              </w:rPr>
            </w:pPr>
            <w:r>
              <w:rPr>
                <w:b/>
                <w:sz w:val="22"/>
              </w:rPr>
              <w:t>CEO, Corporate Board (May be one and the Same), Number of Members is NOT SET (i.e. One Member Board is Allowed), For Profit or Non Profit Allowed, Payment of Board Members Allowed (Compensation for Board Members is not limited).</w:t>
            </w:r>
          </w:p>
          <w:p>
            <w:pPr>
              <w:pStyle w:val="TableParagraph"/>
              <w:spacing w:before="208"/>
              <w:ind w:left="102" w:right="95"/>
              <w:jc w:val="both"/>
              <w:rPr>
                <w:b/>
                <w:sz w:val="22"/>
              </w:rPr>
            </w:pPr>
            <w:r>
              <w:rPr>
                <w:b/>
                <w:sz w:val="22"/>
              </w:rPr>
              <w:t>A Religiously Affiliated Group May Operate the Charter</w:t>
            </w:r>
          </w:p>
        </w:tc>
      </w:tr>
      <w:tr>
        <w:trPr>
          <w:trHeight w:val="2220" w:hRule="atLeast"/>
        </w:trPr>
        <w:tc>
          <w:tcPr>
            <w:tcW w:w="2146" w:type="dxa"/>
          </w:tcPr>
          <w:p>
            <w:pPr>
              <w:pStyle w:val="TableParagraph"/>
              <w:ind w:left="149" w:right="148" w:firstLine="3"/>
              <w:rPr>
                <w:b/>
                <w:i/>
                <w:sz w:val="22"/>
              </w:rPr>
            </w:pPr>
            <w:r>
              <w:rPr>
                <w:b/>
                <w:i/>
                <w:sz w:val="22"/>
              </w:rPr>
              <w:t>Ownership of </w:t>
            </w:r>
            <w:r>
              <w:rPr>
                <w:b/>
                <w:i/>
                <w:sz w:val="22"/>
              </w:rPr>
              <w:t>School Buildings and Assets of the District</w:t>
            </w:r>
          </w:p>
        </w:tc>
        <w:tc>
          <w:tcPr>
            <w:tcW w:w="3697" w:type="dxa"/>
          </w:tcPr>
          <w:p>
            <w:pPr>
              <w:pStyle w:val="TableParagraph"/>
              <w:spacing w:line="248" w:lineRule="exact"/>
              <w:ind w:left="84" w:right="165"/>
              <w:rPr>
                <w:b/>
                <w:sz w:val="22"/>
              </w:rPr>
            </w:pPr>
            <w:r>
              <w:rPr>
                <w:b/>
                <w:sz w:val="22"/>
              </w:rPr>
              <w:t>Community and State of Arizona</w:t>
            </w:r>
          </w:p>
        </w:tc>
        <w:tc>
          <w:tcPr>
            <w:tcW w:w="3509" w:type="dxa"/>
          </w:tcPr>
          <w:p>
            <w:pPr>
              <w:pStyle w:val="TableParagraph"/>
              <w:ind w:left="102" w:right="93"/>
              <w:jc w:val="both"/>
              <w:rPr>
                <w:b/>
                <w:sz w:val="22"/>
              </w:rPr>
            </w:pPr>
            <w:r>
              <w:rPr>
                <w:b/>
                <w:sz w:val="22"/>
              </w:rPr>
              <w:t>Property of the Charter Holder, May be One Person even in For Profits. Sale of </w:t>
            </w:r>
            <w:r>
              <w:rPr>
                <w:b/>
                <w:spacing w:val="-4"/>
                <w:sz w:val="22"/>
              </w:rPr>
              <w:t>Assets </w:t>
            </w:r>
            <w:r>
              <w:rPr>
                <w:b/>
                <w:sz w:val="22"/>
              </w:rPr>
              <w:t>Goes to Charter Holder(s). Sale of Property is not in Open Market (Exception,</w:t>
            </w:r>
            <w:r>
              <w:rPr>
                <w:b/>
                <w:spacing w:val="-10"/>
                <w:sz w:val="22"/>
              </w:rPr>
              <w:t> </w:t>
            </w:r>
            <w:r>
              <w:rPr>
                <w:b/>
                <w:sz w:val="22"/>
              </w:rPr>
              <w:t>Non</w:t>
            </w:r>
            <w:r>
              <w:rPr>
                <w:b/>
                <w:spacing w:val="-14"/>
                <w:sz w:val="22"/>
              </w:rPr>
              <w:t> </w:t>
            </w:r>
            <w:r>
              <w:rPr>
                <w:b/>
                <w:sz w:val="22"/>
              </w:rPr>
              <w:t>Profit</w:t>
            </w:r>
            <w:r>
              <w:rPr>
                <w:b/>
                <w:spacing w:val="-14"/>
                <w:sz w:val="22"/>
              </w:rPr>
              <w:t> </w:t>
            </w:r>
            <w:r>
              <w:rPr>
                <w:b/>
                <w:sz w:val="22"/>
              </w:rPr>
              <w:t>Must</w:t>
            </w:r>
            <w:r>
              <w:rPr>
                <w:b/>
                <w:spacing w:val="-12"/>
                <w:sz w:val="22"/>
              </w:rPr>
              <w:t> </w:t>
            </w:r>
            <w:r>
              <w:rPr>
                <w:b/>
                <w:sz w:val="22"/>
              </w:rPr>
              <w:t>Sell to a Non Profit) This does not stop Related Party</w:t>
            </w:r>
            <w:r>
              <w:rPr>
                <w:b/>
                <w:spacing w:val="-15"/>
                <w:sz w:val="22"/>
              </w:rPr>
              <w:t> </w:t>
            </w:r>
            <w:r>
              <w:rPr>
                <w:b/>
                <w:sz w:val="22"/>
              </w:rPr>
              <w:t>Sales.</w:t>
            </w:r>
          </w:p>
        </w:tc>
      </w:tr>
      <w:tr>
        <w:trPr>
          <w:trHeight w:val="5100" w:hRule="atLeast"/>
        </w:trPr>
        <w:tc>
          <w:tcPr>
            <w:tcW w:w="2146" w:type="dxa"/>
            <w:shd w:val="clear" w:color="auto" w:fill="CDCDCD"/>
          </w:tcPr>
          <w:p>
            <w:pPr>
              <w:pStyle w:val="TableParagraph"/>
              <w:spacing w:line="248" w:lineRule="exact"/>
              <w:ind w:left="89" w:right="87"/>
              <w:rPr>
                <w:b/>
                <w:i/>
                <w:sz w:val="22"/>
              </w:rPr>
            </w:pPr>
            <w:r>
              <w:rPr>
                <w:b/>
                <w:i/>
                <w:sz w:val="22"/>
              </w:rPr>
              <w:t>Financial Controls</w:t>
            </w:r>
          </w:p>
        </w:tc>
        <w:tc>
          <w:tcPr>
            <w:tcW w:w="3697" w:type="dxa"/>
            <w:shd w:val="clear" w:color="auto" w:fill="CDCDCD"/>
          </w:tcPr>
          <w:p>
            <w:pPr>
              <w:pStyle w:val="TableParagraph"/>
              <w:ind w:left="102" w:right="95"/>
              <w:jc w:val="both"/>
              <w:rPr>
                <w:b/>
                <w:sz w:val="22"/>
              </w:rPr>
            </w:pPr>
            <w:r>
              <w:rPr>
                <w:b/>
                <w:sz w:val="22"/>
              </w:rPr>
              <w:t>ADE, Board and Budget Committee Oversight and Community Input at Public Meetings, Audits Submitted to  </w:t>
            </w:r>
            <w:r>
              <w:rPr>
                <w:b/>
                <w:spacing w:val="-5"/>
                <w:sz w:val="22"/>
              </w:rPr>
              <w:t>AZ </w:t>
            </w:r>
            <w:r>
              <w:rPr>
                <w:b/>
                <w:sz w:val="22"/>
              </w:rPr>
              <w:t>Auditor General, Salary of Superintendent is Negotiated in Public and</w:t>
            </w:r>
            <w:r>
              <w:rPr>
                <w:b/>
                <w:spacing w:val="-9"/>
                <w:sz w:val="22"/>
              </w:rPr>
              <w:t> </w:t>
            </w:r>
            <w:r>
              <w:rPr>
                <w:b/>
                <w:sz w:val="22"/>
              </w:rPr>
              <w:t>Published</w:t>
            </w:r>
          </w:p>
        </w:tc>
        <w:tc>
          <w:tcPr>
            <w:tcW w:w="3509" w:type="dxa"/>
            <w:shd w:val="clear" w:color="auto" w:fill="CDCDCD"/>
          </w:tcPr>
          <w:p>
            <w:pPr>
              <w:pStyle w:val="TableParagraph"/>
              <w:ind w:left="102" w:right="90"/>
              <w:jc w:val="both"/>
              <w:rPr>
                <w:b/>
                <w:sz w:val="22"/>
              </w:rPr>
            </w:pPr>
            <w:r>
              <w:rPr>
                <w:b/>
                <w:sz w:val="22"/>
              </w:rPr>
              <w:t>ASBCS Accepts Audits, </w:t>
            </w:r>
            <w:r>
              <w:rPr>
                <w:b/>
                <w:spacing w:val="-5"/>
                <w:sz w:val="22"/>
              </w:rPr>
              <w:t>ADE </w:t>
            </w:r>
            <w:r>
              <w:rPr>
                <w:b/>
                <w:sz w:val="22"/>
              </w:rPr>
              <w:t>Accepts </w:t>
            </w:r>
            <w:r>
              <w:rPr>
                <w:b/>
                <w:spacing w:val="-4"/>
                <w:sz w:val="22"/>
              </w:rPr>
              <w:t>AFRs </w:t>
            </w:r>
            <w:r>
              <w:rPr>
                <w:b/>
                <w:sz w:val="22"/>
              </w:rPr>
              <w:t>with Limited Power to Question Contents, (ADE Refers Issues to </w:t>
            </w:r>
            <w:r>
              <w:rPr>
                <w:b/>
                <w:spacing w:val="-3"/>
                <w:sz w:val="22"/>
              </w:rPr>
              <w:t>ASBCS </w:t>
            </w:r>
            <w:r>
              <w:rPr>
                <w:b/>
                <w:sz w:val="22"/>
              </w:rPr>
              <w:t>for Oversight), Corporate</w:t>
            </w:r>
            <w:r>
              <w:rPr>
                <w:b/>
                <w:spacing w:val="-36"/>
                <w:sz w:val="22"/>
              </w:rPr>
              <w:t> </w:t>
            </w:r>
            <w:r>
              <w:rPr>
                <w:b/>
                <w:sz w:val="22"/>
              </w:rPr>
              <w:t>Board Votes on Budgets, (Dealings with Related Parties are </w:t>
            </w:r>
            <w:r>
              <w:rPr>
                <w:b/>
                <w:sz w:val="22"/>
                <w:u w:val="thick"/>
              </w:rPr>
              <w:t>supposed</w:t>
            </w:r>
            <w:r>
              <w:rPr>
                <w:b/>
                <w:sz w:val="22"/>
              </w:rPr>
              <w:t> to be included in Audit and IRS Form</w:t>
            </w:r>
            <w:r>
              <w:rPr>
                <w:b/>
                <w:spacing w:val="-13"/>
                <w:sz w:val="22"/>
              </w:rPr>
              <w:t> </w:t>
            </w:r>
            <w:r>
              <w:rPr>
                <w:b/>
                <w:sz w:val="22"/>
              </w:rPr>
              <w:t>990).</w:t>
            </w:r>
          </w:p>
          <w:p>
            <w:pPr>
              <w:pStyle w:val="TableParagraph"/>
              <w:spacing w:before="205"/>
              <w:ind w:left="102" w:right="97"/>
              <w:jc w:val="both"/>
              <w:rPr>
                <w:b/>
                <w:sz w:val="22"/>
              </w:rPr>
            </w:pPr>
            <w:r>
              <w:rPr>
                <w:b/>
                <w:sz w:val="22"/>
              </w:rPr>
              <w:t>Compensation of Charter Holder and Executives is unchecked.</w:t>
            </w:r>
          </w:p>
          <w:p>
            <w:pPr>
              <w:pStyle w:val="TableParagraph"/>
              <w:spacing w:before="200"/>
              <w:ind w:left="102" w:right="96"/>
              <w:jc w:val="both"/>
              <w:rPr>
                <w:b/>
                <w:sz w:val="22"/>
              </w:rPr>
            </w:pPr>
            <w:r>
              <w:rPr>
                <w:b/>
                <w:sz w:val="22"/>
              </w:rPr>
              <w:t>Charters Can Use any Auditing firm</w:t>
            </w:r>
          </w:p>
          <w:p>
            <w:pPr>
              <w:pStyle w:val="TableParagraph"/>
              <w:spacing w:before="198"/>
              <w:ind w:left="102" w:right="96"/>
              <w:jc w:val="both"/>
              <w:rPr>
                <w:b/>
                <w:sz w:val="22"/>
              </w:rPr>
            </w:pPr>
            <w:r>
              <w:rPr>
                <w:b/>
                <w:sz w:val="22"/>
              </w:rPr>
              <w:t>(38 different audit firms currently used, including 6 out of state firms)</w:t>
            </w:r>
          </w:p>
        </w:tc>
      </w:tr>
    </w:tbl>
    <w:p>
      <w:pPr>
        <w:spacing w:after="0"/>
        <w:jc w:val="both"/>
        <w:rPr>
          <w:sz w:val="22"/>
        </w:rPr>
        <w:sectPr>
          <w:pgSz w:w="12240" w:h="15840"/>
          <w:pgMar w:header="740" w:footer="1002" w:top="940" w:bottom="1200" w:left="1220" w:right="1440"/>
        </w:sectPr>
      </w:pPr>
    </w:p>
    <w:p>
      <w:pPr>
        <w:pStyle w:val="BodyText"/>
        <w:rPr>
          <w:rFonts w:ascii="Times New Roman"/>
          <w:sz w:val="20"/>
        </w:rPr>
      </w:pPr>
    </w:p>
    <w:p>
      <w:pPr>
        <w:pStyle w:val="BodyText"/>
        <w:spacing w:before="6"/>
        <w:rPr>
          <w:rFonts w:ascii="Times New Roman"/>
          <w:sz w:val="16"/>
        </w:rPr>
      </w:pPr>
    </w:p>
    <w:tbl>
      <w:tblPr>
        <w:tblW w:w="0" w:type="auto"/>
        <w:jc w:val="left"/>
        <w:tblInd w:w="102"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CellMar>
          <w:top w:w="0" w:type="dxa"/>
          <w:left w:w="0" w:type="dxa"/>
          <w:bottom w:w="0" w:type="dxa"/>
          <w:right w:w="0" w:type="dxa"/>
        </w:tblCellMar>
        <w:tblLook w:val="01E0"/>
      </w:tblPr>
      <w:tblGrid>
        <w:gridCol w:w="2146"/>
        <w:gridCol w:w="3697"/>
        <w:gridCol w:w="3509"/>
      </w:tblGrid>
      <w:tr>
        <w:trPr>
          <w:trHeight w:val="460" w:hRule="atLeast"/>
        </w:trPr>
        <w:tc>
          <w:tcPr>
            <w:tcW w:w="2146" w:type="dxa"/>
            <w:tcBorders>
              <w:top w:val="nil"/>
              <w:left w:val="nil"/>
              <w:bottom w:val="nil"/>
              <w:right w:val="nil"/>
            </w:tcBorders>
            <w:shd w:val="clear" w:color="auto" w:fill="000000"/>
          </w:tcPr>
          <w:p>
            <w:pPr>
              <w:pStyle w:val="TableParagraph"/>
              <w:jc w:val="left"/>
              <w:rPr>
                <w:rFonts w:ascii="Times New Roman"/>
                <w:sz w:val="20"/>
              </w:rPr>
            </w:pPr>
          </w:p>
        </w:tc>
        <w:tc>
          <w:tcPr>
            <w:tcW w:w="3697" w:type="dxa"/>
            <w:tcBorders>
              <w:top w:val="nil"/>
              <w:left w:val="nil"/>
              <w:bottom w:val="nil"/>
              <w:right w:val="nil"/>
            </w:tcBorders>
            <w:shd w:val="clear" w:color="auto" w:fill="000000"/>
          </w:tcPr>
          <w:p>
            <w:pPr>
              <w:pStyle w:val="TableParagraph"/>
              <w:ind w:left="650"/>
              <w:jc w:val="left"/>
              <w:rPr>
                <w:b/>
                <w:sz w:val="22"/>
              </w:rPr>
            </w:pPr>
            <w:r>
              <w:rPr>
                <w:b/>
                <w:color w:val="FFFFFF"/>
                <w:sz w:val="22"/>
              </w:rPr>
              <w:t>Public District Schools</w:t>
            </w:r>
          </w:p>
        </w:tc>
        <w:tc>
          <w:tcPr>
            <w:tcW w:w="3509" w:type="dxa"/>
            <w:tcBorders>
              <w:top w:val="nil"/>
              <w:left w:val="nil"/>
              <w:bottom w:val="nil"/>
              <w:right w:val="nil"/>
            </w:tcBorders>
            <w:shd w:val="clear" w:color="auto" w:fill="000000"/>
          </w:tcPr>
          <w:p>
            <w:pPr>
              <w:pStyle w:val="TableParagraph"/>
              <w:ind w:left="542"/>
              <w:jc w:val="left"/>
              <w:rPr>
                <w:b/>
                <w:sz w:val="22"/>
              </w:rPr>
            </w:pPr>
            <w:r>
              <w:rPr>
                <w:b/>
                <w:color w:val="FFFFFF"/>
                <w:sz w:val="22"/>
              </w:rPr>
              <w:t>Public Charter Schools</w:t>
            </w:r>
          </w:p>
        </w:tc>
      </w:tr>
      <w:tr>
        <w:trPr>
          <w:trHeight w:val="1700" w:hRule="atLeast"/>
        </w:trPr>
        <w:tc>
          <w:tcPr>
            <w:tcW w:w="2146" w:type="dxa"/>
            <w:tcBorders>
              <w:top w:val="nil"/>
            </w:tcBorders>
          </w:tcPr>
          <w:p>
            <w:pPr>
              <w:pStyle w:val="TableParagraph"/>
              <w:ind w:left="372" w:right="364" w:hanging="5"/>
              <w:rPr>
                <w:b/>
                <w:i/>
                <w:sz w:val="22"/>
              </w:rPr>
            </w:pPr>
            <w:r>
              <w:rPr>
                <w:b/>
                <w:i/>
                <w:sz w:val="22"/>
              </w:rPr>
              <w:t>Limitation on </w:t>
            </w:r>
            <w:r>
              <w:rPr>
                <w:b/>
                <w:i/>
                <w:sz w:val="22"/>
              </w:rPr>
              <w:t>Financial Expenditures</w:t>
            </w:r>
          </w:p>
        </w:tc>
        <w:tc>
          <w:tcPr>
            <w:tcW w:w="3697" w:type="dxa"/>
            <w:tcBorders>
              <w:top w:val="nil"/>
            </w:tcBorders>
          </w:tcPr>
          <w:p>
            <w:pPr>
              <w:pStyle w:val="TableParagraph"/>
              <w:tabs>
                <w:tab w:pos="1080" w:val="left" w:leader="none"/>
                <w:tab w:pos="2460" w:val="left" w:leader="none"/>
              </w:tabs>
              <w:ind w:left="102" w:right="96"/>
              <w:jc w:val="both"/>
              <w:rPr>
                <w:b/>
                <w:sz w:val="22"/>
              </w:rPr>
            </w:pPr>
            <w:r>
              <w:rPr>
                <w:b/>
                <w:sz w:val="22"/>
              </w:rPr>
              <w:t>Books MUST be Deficit Free, (Although there is at Least ONE District that is Negative). This negative balance forced cuts at the</w:t>
              <w:tab/>
              <w:t>district</w:t>
              <w:tab/>
            </w:r>
            <w:r>
              <w:rPr>
                <w:b/>
                <w:spacing w:val="-1"/>
                <w:sz w:val="22"/>
              </w:rPr>
              <w:t>(Roosevelt </w:t>
            </w:r>
            <w:r>
              <w:rPr>
                <w:b/>
                <w:sz w:val="22"/>
              </w:rPr>
              <w:t>Elementary School</w:t>
            </w:r>
            <w:r>
              <w:rPr>
                <w:b/>
                <w:spacing w:val="-16"/>
                <w:sz w:val="22"/>
              </w:rPr>
              <w:t> </w:t>
            </w:r>
            <w:r>
              <w:rPr>
                <w:b/>
                <w:sz w:val="22"/>
              </w:rPr>
              <w:t>District)</w:t>
            </w:r>
          </w:p>
        </w:tc>
        <w:tc>
          <w:tcPr>
            <w:tcW w:w="3509" w:type="dxa"/>
            <w:tcBorders>
              <w:top w:val="nil"/>
            </w:tcBorders>
          </w:tcPr>
          <w:p>
            <w:pPr>
              <w:pStyle w:val="TableParagraph"/>
              <w:ind w:left="102" w:right="95"/>
              <w:jc w:val="both"/>
              <w:rPr>
                <w:b/>
                <w:sz w:val="22"/>
              </w:rPr>
            </w:pPr>
            <w:r>
              <w:rPr>
                <w:b/>
                <w:sz w:val="22"/>
              </w:rPr>
              <w:t>Allowed</w:t>
            </w:r>
            <w:r>
              <w:rPr>
                <w:b/>
                <w:spacing w:val="-16"/>
                <w:sz w:val="22"/>
              </w:rPr>
              <w:t> </w:t>
            </w:r>
            <w:r>
              <w:rPr>
                <w:b/>
                <w:sz w:val="22"/>
              </w:rPr>
              <w:t>to</w:t>
            </w:r>
            <w:r>
              <w:rPr>
                <w:b/>
                <w:spacing w:val="-15"/>
                <w:sz w:val="22"/>
              </w:rPr>
              <w:t> </w:t>
            </w:r>
            <w:r>
              <w:rPr>
                <w:b/>
                <w:sz w:val="22"/>
              </w:rPr>
              <w:t>Run</w:t>
            </w:r>
            <w:r>
              <w:rPr>
                <w:b/>
                <w:spacing w:val="-13"/>
                <w:sz w:val="22"/>
              </w:rPr>
              <w:t> </w:t>
            </w:r>
            <w:r>
              <w:rPr>
                <w:b/>
                <w:sz w:val="22"/>
              </w:rPr>
              <w:t>Deficits</w:t>
            </w:r>
            <w:r>
              <w:rPr>
                <w:b/>
                <w:spacing w:val="-15"/>
                <w:sz w:val="22"/>
              </w:rPr>
              <w:t> </w:t>
            </w:r>
            <w:r>
              <w:rPr>
                <w:b/>
                <w:sz w:val="22"/>
              </w:rPr>
              <w:t>and</w:t>
            </w:r>
            <w:r>
              <w:rPr>
                <w:b/>
                <w:spacing w:val="-15"/>
                <w:sz w:val="22"/>
              </w:rPr>
              <w:t> </w:t>
            </w:r>
            <w:r>
              <w:rPr>
                <w:b/>
                <w:sz w:val="22"/>
              </w:rPr>
              <w:t>Pay Out Distributions at For Profits. (Distributions can occur even when the entity is in the red. This is true for several “For Profits”</w:t>
            </w:r>
            <w:r>
              <w:rPr>
                <w:b/>
                <w:spacing w:val="-20"/>
                <w:sz w:val="22"/>
              </w:rPr>
              <w:t> </w:t>
            </w:r>
            <w:r>
              <w:rPr>
                <w:b/>
                <w:sz w:val="22"/>
              </w:rPr>
              <w:t>studied.)</w:t>
            </w:r>
          </w:p>
        </w:tc>
      </w:tr>
      <w:tr>
        <w:trPr>
          <w:trHeight w:val="3380" w:hRule="atLeast"/>
        </w:trPr>
        <w:tc>
          <w:tcPr>
            <w:tcW w:w="2146" w:type="dxa"/>
            <w:shd w:val="clear" w:color="auto" w:fill="CDCDCD"/>
          </w:tcPr>
          <w:p>
            <w:pPr>
              <w:pStyle w:val="TableParagraph"/>
              <w:spacing w:line="249" w:lineRule="exact"/>
              <w:ind w:left="290"/>
              <w:jc w:val="left"/>
              <w:rPr>
                <w:b/>
                <w:i/>
                <w:sz w:val="22"/>
              </w:rPr>
            </w:pPr>
            <w:r>
              <w:rPr>
                <w:b/>
                <w:i/>
                <w:sz w:val="22"/>
              </w:rPr>
              <w:t>Transportation</w:t>
            </w:r>
          </w:p>
        </w:tc>
        <w:tc>
          <w:tcPr>
            <w:tcW w:w="3697" w:type="dxa"/>
            <w:shd w:val="clear" w:color="auto" w:fill="CDCDCD"/>
          </w:tcPr>
          <w:p>
            <w:pPr>
              <w:pStyle w:val="TableParagraph"/>
              <w:spacing w:line="247" w:lineRule="exact"/>
              <w:ind w:left="102"/>
              <w:jc w:val="left"/>
              <w:rPr>
                <w:b/>
                <w:sz w:val="22"/>
              </w:rPr>
            </w:pPr>
            <w:r>
              <w:rPr>
                <w:b/>
                <w:sz w:val="22"/>
              </w:rPr>
              <w:t>Must be Provided (Student)</w:t>
            </w:r>
          </w:p>
          <w:p>
            <w:pPr>
              <w:pStyle w:val="TableParagraph"/>
              <w:tabs>
                <w:tab w:pos="1008" w:val="left" w:leader="none"/>
                <w:tab w:pos="1473" w:val="left" w:leader="none"/>
                <w:tab w:pos="2093" w:val="left" w:leader="none"/>
                <w:tab w:pos="3290" w:val="left" w:leader="none"/>
              </w:tabs>
              <w:spacing w:line="242" w:lineRule="auto" w:before="196"/>
              <w:ind w:left="102" w:right="99"/>
              <w:jc w:val="left"/>
              <w:rPr>
                <w:b/>
                <w:sz w:val="22"/>
              </w:rPr>
            </w:pPr>
            <w:r>
              <w:rPr>
                <w:b/>
                <w:sz w:val="22"/>
              </w:rPr>
              <w:t>Limits</w:t>
              <w:tab/>
              <w:t>to</w:t>
              <w:tab/>
              <w:t>Car</w:t>
              <w:tab/>
              <w:t>Provided</w:t>
              <w:tab/>
              <w:t>for District Employees and its</w:t>
            </w:r>
            <w:r>
              <w:rPr>
                <w:b/>
                <w:spacing w:val="-22"/>
                <w:sz w:val="22"/>
              </w:rPr>
              <w:t> </w:t>
            </w:r>
            <w:r>
              <w:rPr>
                <w:b/>
                <w:sz w:val="22"/>
              </w:rPr>
              <w:t>use.</w:t>
            </w:r>
          </w:p>
          <w:p>
            <w:pPr>
              <w:pStyle w:val="TableParagraph"/>
              <w:spacing w:before="196"/>
              <w:ind w:left="102" w:right="373"/>
              <w:jc w:val="left"/>
              <w:rPr>
                <w:b/>
                <w:sz w:val="22"/>
              </w:rPr>
            </w:pPr>
            <w:r>
              <w:rPr>
                <w:b/>
                <w:sz w:val="22"/>
              </w:rPr>
              <w:t>Travel Expenses monitored by Board</w:t>
            </w:r>
          </w:p>
        </w:tc>
        <w:tc>
          <w:tcPr>
            <w:tcW w:w="3509" w:type="dxa"/>
            <w:shd w:val="clear" w:color="auto" w:fill="CDCDCD"/>
          </w:tcPr>
          <w:p>
            <w:pPr>
              <w:pStyle w:val="TableParagraph"/>
              <w:spacing w:line="242" w:lineRule="auto"/>
              <w:ind w:left="102" w:right="97" w:firstLine="60"/>
              <w:jc w:val="both"/>
              <w:rPr>
                <w:b/>
                <w:sz w:val="22"/>
              </w:rPr>
            </w:pPr>
            <w:r>
              <w:rPr>
                <w:b/>
                <w:sz w:val="22"/>
              </w:rPr>
              <w:t>(Bus Transportation) is Optional</w:t>
            </w:r>
          </w:p>
          <w:p>
            <w:pPr>
              <w:pStyle w:val="TableParagraph"/>
              <w:spacing w:before="202"/>
              <w:ind w:left="102" w:right="95"/>
              <w:jc w:val="both"/>
              <w:rPr>
                <w:b/>
                <w:sz w:val="22"/>
              </w:rPr>
            </w:pPr>
            <w:r>
              <w:rPr>
                <w:b/>
                <w:sz w:val="22"/>
              </w:rPr>
              <w:t>Charter Holder and Executives May Buy Cars and Vehicles for Their Company Vehicle (No Limits on Cost or Type of Vehicle)</w:t>
            </w:r>
          </w:p>
          <w:p>
            <w:pPr>
              <w:pStyle w:val="TableParagraph"/>
              <w:spacing w:before="200"/>
              <w:ind w:left="102" w:right="93"/>
              <w:jc w:val="both"/>
              <w:rPr>
                <w:b/>
                <w:sz w:val="22"/>
              </w:rPr>
            </w:pPr>
            <w:r>
              <w:rPr>
                <w:b/>
                <w:sz w:val="22"/>
              </w:rPr>
              <w:t>Travel Accounts appear to be UNREGULATED. Owner may travel to expand his business using company travel funds.</w:t>
            </w:r>
          </w:p>
        </w:tc>
      </w:tr>
      <w:tr>
        <w:trPr>
          <w:trHeight w:val="1960" w:hRule="atLeast"/>
        </w:trPr>
        <w:tc>
          <w:tcPr>
            <w:tcW w:w="2146" w:type="dxa"/>
          </w:tcPr>
          <w:p>
            <w:pPr>
              <w:pStyle w:val="TableParagraph"/>
              <w:spacing w:line="248" w:lineRule="exact"/>
              <w:ind w:left="103"/>
              <w:jc w:val="left"/>
              <w:rPr>
                <w:b/>
                <w:i/>
                <w:sz w:val="22"/>
              </w:rPr>
            </w:pPr>
            <w:r>
              <w:rPr>
                <w:b/>
                <w:i/>
                <w:sz w:val="22"/>
              </w:rPr>
              <w:t>Special Education</w:t>
            </w:r>
          </w:p>
        </w:tc>
        <w:tc>
          <w:tcPr>
            <w:tcW w:w="3697" w:type="dxa"/>
          </w:tcPr>
          <w:p>
            <w:pPr>
              <w:pStyle w:val="TableParagraph"/>
              <w:ind w:left="102" w:right="93"/>
              <w:jc w:val="both"/>
              <w:rPr>
                <w:b/>
                <w:sz w:val="22"/>
              </w:rPr>
            </w:pPr>
            <w:r>
              <w:rPr>
                <w:b/>
                <w:sz w:val="22"/>
              </w:rPr>
              <w:t>Mandated, Title One Required in Schools with Title One Populations Identified</w:t>
            </w:r>
          </w:p>
        </w:tc>
        <w:tc>
          <w:tcPr>
            <w:tcW w:w="3509" w:type="dxa"/>
          </w:tcPr>
          <w:p>
            <w:pPr>
              <w:pStyle w:val="TableParagraph"/>
              <w:ind w:left="102" w:right="95"/>
              <w:jc w:val="both"/>
              <w:rPr>
                <w:b/>
                <w:sz w:val="22"/>
              </w:rPr>
            </w:pPr>
            <w:r>
              <w:rPr>
                <w:b/>
                <w:sz w:val="22"/>
              </w:rPr>
              <w:t>Outsourcing May be Used, Parents can be Counselled to Pick Another School, Expenditures Listed do NOT meet Average Costs Normally Associated with a  Robust SPED Program</w:t>
            </w:r>
          </w:p>
        </w:tc>
      </w:tr>
      <w:tr>
        <w:trPr>
          <w:trHeight w:val="1660" w:hRule="atLeast"/>
        </w:trPr>
        <w:tc>
          <w:tcPr>
            <w:tcW w:w="2146" w:type="dxa"/>
            <w:shd w:val="clear" w:color="auto" w:fill="CDCDCD"/>
          </w:tcPr>
          <w:p>
            <w:pPr>
              <w:pStyle w:val="TableParagraph"/>
              <w:spacing w:line="248" w:lineRule="exact"/>
              <w:ind w:left="103"/>
              <w:jc w:val="left"/>
              <w:rPr>
                <w:b/>
                <w:i/>
                <w:sz w:val="22"/>
              </w:rPr>
            </w:pPr>
            <w:r>
              <w:rPr>
                <w:b/>
                <w:i/>
                <w:sz w:val="22"/>
              </w:rPr>
              <w:t>Profit (Surplus)</w:t>
            </w:r>
          </w:p>
        </w:tc>
        <w:tc>
          <w:tcPr>
            <w:tcW w:w="3697" w:type="dxa"/>
            <w:shd w:val="clear" w:color="auto" w:fill="CDCDCD"/>
          </w:tcPr>
          <w:p>
            <w:pPr>
              <w:pStyle w:val="TableParagraph"/>
              <w:ind w:left="102" w:right="94"/>
              <w:jc w:val="both"/>
              <w:rPr>
                <w:b/>
                <w:sz w:val="22"/>
              </w:rPr>
            </w:pPr>
            <w:r>
              <w:rPr>
                <w:b/>
                <w:sz w:val="22"/>
              </w:rPr>
              <w:t>Goes to either designated Reserve Funds or Back to Funding Source to reduce property taxes.</w:t>
            </w:r>
          </w:p>
        </w:tc>
        <w:tc>
          <w:tcPr>
            <w:tcW w:w="3509" w:type="dxa"/>
            <w:shd w:val="clear" w:color="auto" w:fill="CDCDCD"/>
          </w:tcPr>
          <w:p>
            <w:pPr>
              <w:pStyle w:val="TableParagraph"/>
              <w:ind w:left="102" w:right="95"/>
              <w:jc w:val="both"/>
              <w:rPr>
                <w:b/>
                <w:sz w:val="22"/>
              </w:rPr>
            </w:pPr>
            <w:r>
              <w:rPr>
                <w:b/>
                <w:sz w:val="22"/>
              </w:rPr>
              <w:t>May go to either Shareholders in</w:t>
            </w:r>
            <w:r>
              <w:rPr>
                <w:b/>
                <w:spacing w:val="-14"/>
                <w:sz w:val="22"/>
              </w:rPr>
              <w:t> </w:t>
            </w:r>
            <w:r>
              <w:rPr>
                <w:b/>
                <w:sz w:val="22"/>
              </w:rPr>
              <w:t>For</w:t>
            </w:r>
            <w:r>
              <w:rPr>
                <w:b/>
                <w:spacing w:val="-15"/>
                <w:sz w:val="22"/>
              </w:rPr>
              <w:t> </w:t>
            </w:r>
            <w:r>
              <w:rPr>
                <w:b/>
                <w:sz w:val="22"/>
              </w:rPr>
              <w:t>Profit</w:t>
            </w:r>
            <w:r>
              <w:rPr>
                <w:b/>
                <w:spacing w:val="-15"/>
                <w:sz w:val="22"/>
              </w:rPr>
              <w:t> </w:t>
            </w:r>
            <w:r>
              <w:rPr>
                <w:b/>
                <w:sz w:val="22"/>
              </w:rPr>
              <w:t>(Distributions)</w:t>
            </w:r>
            <w:r>
              <w:rPr>
                <w:b/>
                <w:spacing w:val="-14"/>
                <w:sz w:val="22"/>
              </w:rPr>
              <w:t> </w:t>
            </w:r>
            <w:r>
              <w:rPr>
                <w:b/>
                <w:sz w:val="22"/>
              </w:rPr>
              <w:t>or</w:t>
            </w:r>
            <w:r>
              <w:rPr>
                <w:b/>
                <w:spacing w:val="-18"/>
                <w:sz w:val="22"/>
              </w:rPr>
              <w:t> </w:t>
            </w:r>
            <w:r>
              <w:rPr>
                <w:b/>
                <w:sz w:val="22"/>
              </w:rPr>
              <w:t>to </w:t>
            </w:r>
            <w:r>
              <w:rPr>
                <w:b/>
                <w:spacing w:val="-4"/>
                <w:sz w:val="22"/>
              </w:rPr>
              <w:t>Asset </w:t>
            </w:r>
            <w:r>
              <w:rPr>
                <w:b/>
                <w:sz w:val="22"/>
              </w:rPr>
              <w:t>Balance (Equity).</w:t>
            </w:r>
          </w:p>
        </w:tc>
      </w:tr>
      <w:tr>
        <w:trPr>
          <w:trHeight w:val="1380" w:hRule="atLeast"/>
        </w:trPr>
        <w:tc>
          <w:tcPr>
            <w:tcW w:w="2146" w:type="dxa"/>
          </w:tcPr>
          <w:p>
            <w:pPr>
              <w:pStyle w:val="TableParagraph"/>
              <w:spacing w:line="248" w:lineRule="exact"/>
              <w:ind w:left="103"/>
              <w:jc w:val="left"/>
              <w:rPr>
                <w:b/>
                <w:i/>
                <w:sz w:val="22"/>
              </w:rPr>
            </w:pPr>
            <w:r>
              <w:rPr>
                <w:b/>
                <w:i/>
                <w:sz w:val="22"/>
              </w:rPr>
              <w:t>Debt</w:t>
            </w:r>
          </w:p>
        </w:tc>
        <w:tc>
          <w:tcPr>
            <w:tcW w:w="3697" w:type="dxa"/>
          </w:tcPr>
          <w:p>
            <w:pPr>
              <w:pStyle w:val="TableParagraph"/>
              <w:ind w:left="102" w:right="95"/>
              <w:jc w:val="both"/>
              <w:rPr>
                <w:b/>
                <w:sz w:val="22"/>
              </w:rPr>
            </w:pPr>
            <w:r>
              <w:rPr>
                <w:b/>
                <w:sz w:val="22"/>
              </w:rPr>
              <w:t>May Not Exceed Capacity of the District to Support the Resulting Bonds Issued</w:t>
            </w:r>
          </w:p>
        </w:tc>
        <w:tc>
          <w:tcPr>
            <w:tcW w:w="3509" w:type="dxa"/>
          </w:tcPr>
          <w:p>
            <w:pPr>
              <w:pStyle w:val="TableParagraph"/>
              <w:ind w:left="102" w:right="95"/>
              <w:jc w:val="both"/>
              <w:rPr>
                <w:b/>
                <w:sz w:val="22"/>
              </w:rPr>
            </w:pPr>
            <w:r>
              <w:rPr>
                <w:b/>
                <w:sz w:val="22"/>
              </w:rPr>
              <w:t>Allowed to Exist with</w:t>
            </w:r>
            <w:r>
              <w:rPr>
                <w:b/>
                <w:spacing w:val="-39"/>
                <w:sz w:val="22"/>
              </w:rPr>
              <w:t> </w:t>
            </w:r>
            <w:r>
              <w:rPr>
                <w:b/>
                <w:sz w:val="22"/>
              </w:rPr>
              <w:t>Excessive Debt to Income Ratios, Limited Power</w:t>
            </w:r>
            <w:r>
              <w:rPr>
                <w:b/>
                <w:spacing w:val="-12"/>
                <w:sz w:val="22"/>
              </w:rPr>
              <w:t> </w:t>
            </w:r>
            <w:r>
              <w:rPr>
                <w:b/>
                <w:sz w:val="22"/>
              </w:rPr>
              <w:t>to</w:t>
            </w:r>
            <w:r>
              <w:rPr>
                <w:b/>
                <w:spacing w:val="-13"/>
                <w:sz w:val="22"/>
              </w:rPr>
              <w:t> </w:t>
            </w:r>
            <w:r>
              <w:rPr>
                <w:b/>
                <w:sz w:val="22"/>
              </w:rPr>
              <w:t>Close</w:t>
            </w:r>
            <w:r>
              <w:rPr>
                <w:b/>
                <w:spacing w:val="-13"/>
                <w:sz w:val="22"/>
              </w:rPr>
              <w:t> </w:t>
            </w:r>
            <w:r>
              <w:rPr>
                <w:b/>
                <w:sz w:val="22"/>
              </w:rPr>
              <w:t>Charter</w:t>
            </w:r>
            <w:r>
              <w:rPr>
                <w:b/>
                <w:spacing w:val="-14"/>
                <w:sz w:val="22"/>
              </w:rPr>
              <w:t> </w:t>
            </w:r>
            <w:r>
              <w:rPr>
                <w:b/>
                <w:sz w:val="22"/>
              </w:rPr>
              <w:t>is</w:t>
            </w:r>
            <w:r>
              <w:rPr>
                <w:b/>
                <w:spacing w:val="-12"/>
                <w:sz w:val="22"/>
              </w:rPr>
              <w:t> </w:t>
            </w:r>
            <w:r>
              <w:rPr>
                <w:b/>
                <w:sz w:val="22"/>
              </w:rPr>
              <w:t>Given to</w:t>
            </w:r>
            <w:r>
              <w:rPr>
                <w:b/>
                <w:spacing w:val="10"/>
                <w:sz w:val="22"/>
              </w:rPr>
              <w:t> </w:t>
            </w:r>
            <w:r>
              <w:rPr>
                <w:b/>
                <w:spacing w:val="-5"/>
                <w:sz w:val="22"/>
              </w:rPr>
              <w:t>ASBCS.</w:t>
            </w:r>
          </w:p>
        </w:tc>
      </w:tr>
      <w:tr>
        <w:trPr>
          <w:trHeight w:val="1700" w:hRule="atLeast"/>
        </w:trPr>
        <w:tc>
          <w:tcPr>
            <w:tcW w:w="2146" w:type="dxa"/>
            <w:shd w:val="clear" w:color="auto" w:fill="CDCDCD"/>
          </w:tcPr>
          <w:p>
            <w:pPr>
              <w:pStyle w:val="TableParagraph"/>
              <w:spacing w:line="242" w:lineRule="auto"/>
              <w:ind w:left="103" w:right="1046"/>
              <w:jc w:val="left"/>
              <w:rPr>
                <w:b/>
                <w:i/>
                <w:sz w:val="22"/>
              </w:rPr>
            </w:pPr>
            <w:r>
              <w:rPr>
                <w:b/>
                <w:i/>
                <w:sz w:val="22"/>
              </w:rPr>
              <w:t>Hiring of </w:t>
            </w:r>
            <w:r>
              <w:rPr>
                <w:b/>
                <w:i/>
                <w:sz w:val="22"/>
              </w:rPr>
              <w:t>Relatives</w:t>
            </w:r>
          </w:p>
        </w:tc>
        <w:tc>
          <w:tcPr>
            <w:tcW w:w="3697" w:type="dxa"/>
            <w:shd w:val="clear" w:color="auto" w:fill="CDCDCD"/>
          </w:tcPr>
          <w:p>
            <w:pPr>
              <w:pStyle w:val="TableParagraph"/>
              <w:spacing w:line="246" w:lineRule="exact"/>
              <w:ind w:left="102"/>
              <w:jc w:val="left"/>
              <w:rPr>
                <w:b/>
                <w:sz w:val="22"/>
              </w:rPr>
            </w:pPr>
            <w:r>
              <w:rPr>
                <w:b/>
                <w:sz w:val="22"/>
              </w:rPr>
              <w:t>Not Allowed (Nepotism Policy)</w:t>
            </w:r>
          </w:p>
        </w:tc>
        <w:tc>
          <w:tcPr>
            <w:tcW w:w="3509" w:type="dxa"/>
            <w:shd w:val="clear" w:color="auto" w:fill="CDCDCD"/>
          </w:tcPr>
          <w:p>
            <w:pPr>
              <w:pStyle w:val="TableParagraph"/>
              <w:ind w:left="102" w:right="94"/>
              <w:jc w:val="both"/>
              <w:rPr>
                <w:b/>
                <w:sz w:val="22"/>
              </w:rPr>
            </w:pPr>
            <w:r>
              <w:rPr>
                <w:b/>
                <w:sz w:val="22"/>
              </w:rPr>
              <w:t>Allowed (and Prevalent) Especially at Management Level. Majority of charters have related parties working for, managing and / or on the board of their charter.</w:t>
            </w:r>
          </w:p>
        </w:tc>
      </w:tr>
    </w:tbl>
    <w:p>
      <w:pPr>
        <w:spacing w:after="0"/>
        <w:jc w:val="both"/>
        <w:rPr>
          <w:sz w:val="22"/>
        </w:rPr>
        <w:sectPr>
          <w:footerReference w:type="default" r:id="rId23"/>
          <w:pgSz w:w="12240" w:h="15840"/>
          <w:pgMar w:footer="1002" w:header="740" w:top="940" w:bottom="1200" w:left="1220" w:right="1440"/>
        </w:sectPr>
      </w:pPr>
    </w:p>
    <w:p>
      <w:pPr>
        <w:pStyle w:val="BodyText"/>
        <w:rPr>
          <w:rFonts w:ascii="Times New Roman"/>
          <w:sz w:val="20"/>
        </w:rPr>
      </w:pPr>
    </w:p>
    <w:p>
      <w:pPr>
        <w:pStyle w:val="BodyText"/>
        <w:spacing w:before="2"/>
        <w:rPr>
          <w:rFonts w:ascii="Times New Roman"/>
          <w:sz w:val="22"/>
        </w:rPr>
      </w:pPr>
    </w:p>
    <w:tbl>
      <w:tblPr>
        <w:tblW w:w="0" w:type="auto"/>
        <w:jc w:val="left"/>
        <w:tblInd w:w="107"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CellMar>
          <w:top w:w="0" w:type="dxa"/>
          <w:left w:w="0" w:type="dxa"/>
          <w:bottom w:w="0" w:type="dxa"/>
          <w:right w:w="0" w:type="dxa"/>
        </w:tblCellMar>
        <w:tblLook w:val="01E0"/>
      </w:tblPr>
      <w:tblGrid>
        <w:gridCol w:w="2146"/>
        <w:gridCol w:w="3697"/>
        <w:gridCol w:w="3509"/>
      </w:tblGrid>
      <w:tr>
        <w:trPr>
          <w:trHeight w:val="1180" w:hRule="atLeast"/>
        </w:trPr>
        <w:tc>
          <w:tcPr>
            <w:tcW w:w="2146" w:type="dxa"/>
          </w:tcPr>
          <w:p>
            <w:pPr>
              <w:pStyle w:val="TableParagraph"/>
              <w:spacing w:line="248" w:lineRule="exact"/>
              <w:ind w:left="103"/>
              <w:jc w:val="left"/>
              <w:rPr>
                <w:b/>
                <w:i/>
                <w:sz w:val="22"/>
              </w:rPr>
            </w:pPr>
            <w:r>
              <w:rPr>
                <w:b/>
                <w:i/>
                <w:sz w:val="22"/>
              </w:rPr>
              <w:t>Student Choice</w:t>
            </w:r>
          </w:p>
        </w:tc>
        <w:tc>
          <w:tcPr>
            <w:tcW w:w="3697" w:type="dxa"/>
          </w:tcPr>
          <w:p>
            <w:pPr>
              <w:pStyle w:val="TableParagraph"/>
              <w:spacing w:line="246" w:lineRule="exact"/>
              <w:ind w:left="103"/>
              <w:jc w:val="left"/>
              <w:rPr>
                <w:b/>
                <w:sz w:val="22"/>
              </w:rPr>
            </w:pPr>
            <w:r>
              <w:rPr>
                <w:b/>
                <w:sz w:val="22"/>
              </w:rPr>
              <w:t>Must Accept ALL Students</w:t>
            </w:r>
          </w:p>
        </w:tc>
        <w:tc>
          <w:tcPr>
            <w:tcW w:w="3509" w:type="dxa"/>
          </w:tcPr>
          <w:p>
            <w:pPr>
              <w:pStyle w:val="TableParagraph"/>
              <w:ind w:left="102" w:right="95"/>
              <w:jc w:val="both"/>
              <w:rPr>
                <w:b/>
                <w:sz w:val="22"/>
              </w:rPr>
            </w:pPr>
            <w:r>
              <w:rPr>
                <w:b/>
                <w:sz w:val="22"/>
              </w:rPr>
              <w:t>May Use Lottery if OVER SUBSCRIBED. All students are supposed to be allowed to enroll. Testing out is allowed.</w:t>
            </w:r>
          </w:p>
        </w:tc>
      </w:tr>
    </w:tbl>
    <w:p>
      <w:pPr>
        <w:pStyle w:val="BodyText"/>
        <w:spacing w:before="4"/>
        <w:rPr>
          <w:rFonts w:ascii="Times New Roman"/>
          <w:sz w:val="8"/>
        </w:rPr>
      </w:pPr>
    </w:p>
    <w:p>
      <w:pPr>
        <w:spacing w:before="93"/>
        <w:ind w:left="218" w:right="0" w:firstLine="0"/>
        <w:jc w:val="both"/>
        <w:rPr>
          <w:b/>
          <w:sz w:val="22"/>
        </w:rPr>
      </w:pPr>
      <w:bookmarkStart w:name="_bookmark25" w:id="26"/>
      <w:bookmarkEnd w:id="26"/>
      <w:r>
        <w:rPr/>
      </w:r>
      <w:r>
        <w:rPr>
          <w:b/>
          <w:color w:val="4F81BC"/>
          <w:sz w:val="22"/>
        </w:rPr>
        <w:t>Widespread Practice</w:t>
      </w:r>
    </w:p>
    <w:p>
      <w:pPr>
        <w:pStyle w:val="BodyText"/>
        <w:spacing w:line="276" w:lineRule="auto" w:before="42"/>
        <w:ind w:left="220" w:right="111"/>
        <w:jc w:val="both"/>
      </w:pPr>
      <w:r>
        <w:rPr/>
        <w:t>More</w:t>
      </w:r>
      <w:r>
        <w:rPr>
          <w:spacing w:val="-8"/>
        </w:rPr>
        <w:t> </w:t>
      </w:r>
      <w:r>
        <w:rPr/>
        <w:t>than</w:t>
      </w:r>
      <w:r>
        <w:rPr>
          <w:spacing w:val="-9"/>
        </w:rPr>
        <w:t> </w:t>
      </w:r>
      <w:r>
        <w:rPr/>
        <w:t>77%</w:t>
      </w:r>
      <w:r>
        <w:rPr>
          <w:spacing w:val="-10"/>
        </w:rPr>
        <w:t> </w:t>
      </w:r>
      <w:r>
        <w:rPr/>
        <w:t>of</w:t>
      </w:r>
      <w:r>
        <w:rPr>
          <w:spacing w:val="-5"/>
        </w:rPr>
        <w:t> </w:t>
      </w:r>
      <w:r>
        <w:rPr/>
        <w:t>charter</w:t>
      </w:r>
      <w:r>
        <w:rPr>
          <w:spacing w:val="-8"/>
        </w:rPr>
        <w:t> </w:t>
      </w:r>
      <w:r>
        <w:rPr/>
        <w:t>schools</w:t>
      </w:r>
      <w:r>
        <w:rPr>
          <w:spacing w:val="-8"/>
        </w:rPr>
        <w:t> </w:t>
      </w:r>
      <w:r>
        <w:rPr/>
        <w:t>conduct</w:t>
      </w:r>
      <w:r>
        <w:rPr>
          <w:spacing w:val="-3"/>
        </w:rPr>
        <w:t> </w:t>
      </w:r>
      <w:r>
        <w:rPr/>
        <w:t>business</w:t>
      </w:r>
      <w:r>
        <w:rPr>
          <w:spacing w:val="-8"/>
        </w:rPr>
        <w:t> </w:t>
      </w:r>
      <w:r>
        <w:rPr/>
        <w:t>with</w:t>
      </w:r>
      <w:r>
        <w:rPr>
          <w:spacing w:val="-7"/>
        </w:rPr>
        <w:t> </w:t>
      </w:r>
      <w:r>
        <w:rPr/>
        <w:t>related</w:t>
      </w:r>
      <w:r>
        <w:rPr>
          <w:spacing w:val="-7"/>
        </w:rPr>
        <w:t> </w:t>
      </w:r>
      <w:r>
        <w:rPr/>
        <w:t>parties</w:t>
      </w:r>
      <w:r>
        <w:rPr>
          <w:spacing w:val="-6"/>
        </w:rPr>
        <w:t> </w:t>
      </w:r>
      <w:r>
        <w:rPr/>
        <w:t>-</w:t>
      </w:r>
      <w:r>
        <w:rPr>
          <w:spacing w:val="-8"/>
        </w:rPr>
        <w:t> </w:t>
      </w:r>
      <w:r>
        <w:rPr/>
        <w:t>companies</w:t>
      </w:r>
      <w:r>
        <w:rPr>
          <w:spacing w:val="-7"/>
        </w:rPr>
        <w:t> </w:t>
      </w:r>
      <w:r>
        <w:rPr/>
        <w:t>that employ a family member of the charter holder, or the charter holder him or herself. In addition the boards at these subsidiary companies are the almost always the same individuals that are on the charter’s corporate board. The corporate board is appointed. This is the polar opposite of a public school board where the open seats are filled with elected members from the</w:t>
      </w:r>
      <w:r>
        <w:rPr>
          <w:spacing w:val="-29"/>
        </w:rPr>
        <w:t> </w:t>
      </w:r>
      <w:r>
        <w:rPr/>
        <w:t>community.</w:t>
      </w:r>
    </w:p>
    <w:p>
      <w:pPr>
        <w:spacing w:before="197"/>
        <w:ind w:left="220" w:right="0" w:firstLine="0"/>
        <w:jc w:val="both"/>
        <w:rPr>
          <w:b/>
          <w:sz w:val="22"/>
        </w:rPr>
      </w:pPr>
      <w:r>
        <w:rPr/>
        <w:pict>
          <v:group style="position:absolute;margin-left:72pt;margin-top:24.777901pt;width:468pt;height:348.6pt;mso-position-horizontal-relative:page;mso-position-vertical-relative:paragraph;z-index:1336;mso-wrap-distance-left:0;mso-wrap-distance-right:0" coordorigin="1440,496" coordsize="9360,6972">
            <v:shape style="position:absolute;left:1440;top:495;width:9360;height:6972" type="#_x0000_t75" stroked="false">
              <v:imagedata r:id="rId24" o:title=""/>
            </v:shape>
            <v:shape style="position:absolute;left:2491;top:1443;width:7844;height:5360" type="#_x0000_t75" stroked="false">
              <v:imagedata r:id="rId25" o:title=""/>
            </v:shape>
            <v:shape style="position:absolute;left:4400;top:1861;width:629;height:198" coordorigin="4400,1862" coordsize="629,198" path="m5029,2060l4489,1862,4400,1862e" filled="false" stroked="true" strokeweight=".75pt" strokecolor="#f1f1f1">
              <v:path arrowok="t"/>
              <v:stroke dashstyle="solid"/>
            </v:shape>
            <v:shape style="position:absolute;left:2875;top:579;width:1620;height:1308" type="#_x0000_t75" stroked="false">
              <v:imagedata r:id="rId26" o:title=""/>
            </v:shape>
            <v:shape style="position:absolute;left:1591;top:3685;width:1575;height:2674" type="#_x0000_t75" stroked="false">
              <v:imagedata r:id="rId27" o:title=""/>
            </v:shape>
            <v:shape style="position:absolute;left:5164;top:3884;width:3994;height:1100" type="#_x0000_t75" stroked="false">
              <v:imagedata r:id="rId28" o:title=""/>
            </v:shape>
            <v:shape style="position:absolute;left:2875;top:600;width:1624;height:1289" type="#_x0000_t202" filled="false" stroked="false">
              <v:textbox inset="0,0,0,0">
                <w:txbxContent>
                  <w:p>
                    <w:pPr>
                      <w:spacing w:line="277" w:lineRule="exact" w:before="0"/>
                      <w:ind w:left="0" w:right="0" w:firstLine="316"/>
                      <w:jc w:val="left"/>
                      <w:rPr>
                        <w:rFonts w:ascii="Calibri"/>
                        <w:sz w:val="28"/>
                      </w:rPr>
                    </w:pPr>
                    <w:r>
                      <w:rPr>
                        <w:rFonts w:ascii="Calibri"/>
                        <w:color w:val="DADADA"/>
                        <w:sz w:val="28"/>
                      </w:rPr>
                      <w:t>Charters</w:t>
                    </w:r>
                  </w:p>
                  <w:p>
                    <w:pPr>
                      <w:spacing w:line="240" w:lineRule="auto" w:before="0"/>
                      <w:ind w:left="52" w:right="18" w:hanging="53"/>
                      <w:jc w:val="both"/>
                      <w:rPr>
                        <w:rFonts w:ascii="Calibri"/>
                        <w:sz w:val="28"/>
                      </w:rPr>
                    </w:pPr>
                    <w:r>
                      <w:rPr>
                        <w:rFonts w:ascii="Calibri"/>
                        <w:color w:val="DADADA"/>
                        <w:sz w:val="28"/>
                      </w:rPr>
                      <w:t>WITHOUT any related-party transactions</w:t>
                    </w:r>
                  </w:p>
                </w:txbxContent>
              </v:textbox>
              <w10:wrap type="none"/>
            </v:shape>
            <v:shape style="position:absolute;left:1594;top:3706;width:1568;height:2655" type="#_x0000_t202" filled="false" stroked="false">
              <v:textbox inset="0,0,0,0">
                <w:txbxContent>
                  <w:p>
                    <w:pPr>
                      <w:spacing w:line="276" w:lineRule="exact" w:before="0"/>
                      <w:ind w:left="-1" w:right="18" w:firstLine="0"/>
                      <w:jc w:val="center"/>
                      <w:rPr>
                        <w:rFonts w:ascii="Calibri"/>
                        <w:sz w:val="28"/>
                      </w:rPr>
                    </w:pPr>
                    <w:r>
                      <w:rPr>
                        <w:rFonts w:ascii="Calibri"/>
                        <w:color w:val="DADADA"/>
                        <w:sz w:val="28"/>
                      </w:rPr>
                      <w:t>Charters</w:t>
                    </w:r>
                    <w:r>
                      <w:rPr>
                        <w:rFonts w:ascii="Calibri"/>
                        <w:color w:val="DADADA"/>
                        <w:spacing w:val="-12"/>
                        <w:sz w:val="28"/>
                      </w:rPr>
                      <w:t> </w:t>
                    </w:r>
                    <w:r>
                      <w:rPr>
                        <w:rFonts w:ascii="Calibri"/>
                        <w:color w:val="DADADA"/>
                        <w:sz w:val="28"/>
                      </w:rPr>
                      <w:t>with</w:t>
                    </w:r>
                  </w:p>
                  <w:p>
                    <w:pPr>
                      <w:spacing w:line="240" w:lineRule="auto" w:before="0"/>
                      <w:ind w:left="-1" w:right="18" w:firstLine="0"/>
                      <w:jc w:val="center"/>
                      <w:rPr>
                        <w:rFonts w:ascii="Calibri"/>
                        <w:sz w:val="28"/>
                      </w:rPr>
                    </w:pPr>
                    <w:r>
                      <w:rPr>
                        <w:rFonts w:ascii="Calibri"/>
                        <w:color w:val="DADADA"/>
                        <w:sz w:val="28"/>
                      </w:rPr>
                      <w:t>small</w:t>
                    </w:r>
                    <w:r>
                      <w:rPr>
                        <w:rFonts w:ascii="Calibri"/>
                        <w:color w:val="DADADA"/>
                        <w:spacing w:val="-20"/>
                        <w:sz w:val="28"/>
                      </w:rPr>
                      <w:t> </w:t>
                    </w:r>
                    <w:r>
                      <w:rPr>
                        <w:rFonts w:ascii="Calibri"/>
                        <w:color w:val="DADADA"/>
                        <w:sz w:val="28"/>
                      </w:rPr>
                      <w:t>related- party transactions that save money through efficiencies</w:t>
                    </w:r>
                  </w:p>
                </w:txbxContent>
              </v:textbox>
              <w10:wrap type="none"/>
            </v:shape>
            <v:shape style="position:absolute;left:5173;top:3905;width:3979;height:1078" type="#_x0000_t202" filled="false" stroked="false">
              <v:textbox inset="0,0,0,0">
                <w:txbxContent>
                  <w:p>
                    <w:pPr>
                      <w:spacing w:line="314" w:lineRule="exact" w:before="0"/>
                      <w:ind w:left="0" w:right="19" w:firstLine="0"/>
                      <w:jc w:val="center"/>
                      <w:rPr>
                        <w:rFonts w:ascii="Calibri"/>
                        <w:sz w:val="32"/>
                      </w:rPr>
                    </w:pPr>
                    <w:r>
                      <w:rPr>
                        <w:rFonts w:ascii="Calibri"/>
                        <w:color w:val="DADADA"/>
                        <w:sz w:val="32"/>
                      </w:rPr>
                      <w:t>Charters with</w:t>
                    </w:r>
                    <w:r>
                      <w:rPr>
                        <w:rFonts w:ascii="Calibri"/>
                        <w:color w:val="DADADA"/>
                        <w:spacing w:val="-16"/>
                        <w:sz w:val="32"/>
                      </w:rPr>
                      <w:t> </w:t>
                    </w:r>
                    <w:r>
                      <w:rPr>
                        <w:rFonts w:ascii="Calibri"/>
                        <w:color w:val="DADADA"/>
                        <w:sz w:val="32"/>
                      </w:rPr>
                      <w:t>signficiant</w:t>
                    </w:r>
                  </w:p>
                  <w:p>
                    <w:pPr>
                      <w:spacing w:line="379" w:lineRule="exact" w:before="0"/>
                      <w:ind w:left="0" w:right="18" w:firstLine="0"/>
                      <w:jc w:val="center"/>
                      <w:rPr>
                        <w:rFonts w:ascii="Calibri"/>
                        <w:sz w:val="32"/>
                      </w:rPr>
                    </w:pPr>
                    <w:r>
                      <w:rPr>
                        <w:rFonts w:ascii="Calibri"/>
                        <w:color w:val="DADADA"/>
                        <w:sz w:val="32"/>
                      </w:rPr>
                      <w:t>related-party transactions</w:t>
                    </w:r>
                    <w:r>
                      <w:rPr>
                        <w:rFonts w:ascii="Calibri"/>
                        <w:color w:val="DADADA"/>
                        <w:spacing w:val="-46"/>
                        <w:sz w:val="32"/>
                      </w:rPr>
                      <w:t> </w:t>
                    </w:r>
                    <w:r>
                      <w:rPr>
                        <w:rFonts w:ascii="Calibri"/>
                        <w:color w:val="DADADA"/>
                        <w:sz w:val="32"/>
                      </w:rPr>
                      <w:t>that</w:t>
                    </w:r>
                  </w:p>
                  <w:p>
                    <w:pPr>
                      <w:spacing w:line="385" w:lineRule="exact" w:before="0"/>
                      <w:ind w:left="0" w:right="16" w:firstLine="0"/>
                      <w:jc w:val="center"/>
                      <w:rPr>
                        <w:rFonts w:ascii="Calibri"/>
                        <w:sz w:val="32"/>
                      </w:rPr>
                    </w:pPr>
                    <w:r>
                      <w:rPr>
                        <w:rFonts w:ascii="Calibri"/>
                        <w:color w:val="DADADA"/>
                        <w:sz w:val="32"/>
                      </w:rPr>
                      <w:t>do NOT save money</w:t>
                    </w:r>
                  </w:p>
                </w:txbxContent>
              </v:textbox>
              <w10:wrap type="none"/>
            </v:shape>
            <w10:wrap type="topAndBottom"/>
          </v:group>
        </w:pict>
      </w:r>
      <w:bookmarkStart w:name="_bookmark26" w:id="27"/>
      <w:bookmarkEnd w:id="27"/>
      <w:r>
        <w:rPr/>
      </w:r>
      <w:r>
        <w:rPr>
          <w:b/>
          <w:color w:val="4F81BC"/>
          <w:sz w:val="22"/>
        </w:rPr>
        <w:t>Figure 1 Related-Party Transactions at Arizona Charter Schools</w:t>
      </w:r>
    </w:p>
    <w:p>
      <w:pPr>
        <w:pStyle w:val="BodyText"/>
        <w:spacing w:line="280" w:lineRule="auto" w:before="185"/>
        <w:ind w:left="220"/>
      </w:pPr>
      <w:r>
        <w:rPr/>
        <w:t>Corporate board structure and makeup is unregulated. There are NO requirements regarding the number of board members or their relationships with ownership.</w:t>
      </w:r>
    </w:p>
    <w:p>
      <w:pPr>
        <w:pStyle w:val="BodyText"/>
        <w:spacing w:before="192"/>
        <w:ind w:left="220"/>
        <w:jc w:val="both"/>
      </w:pPr>
      <w:r>
        <w:rPr/>
        <w:t>Arizona law allows the following configuration of owners and corporate boards (ARS</w:t>
      </w:r>
    </w:p>
    <w:p>
      <w:pPr>
        <w:pStyle w:val="BodyText"/>
        <w:spacing w:before="38"/>
        <w:ind w:left="220"/>
        <w:jc w:val="both"/>
      </w:pPr>
      <w:r>
        <w:rPr/>
        <w:t>§15-181 to   §15-189) to exist:</w:t>
      </w:r>
    </w:p>
    <w:p>
      <w:pPr>
        <w:spacing w:after="0"/>
        <w:jc w:val="both"/>
        <w:sectPr>
          <w:pgSz w:w="12240" w:h="15840"/>
          <w:pgMar w:header="740" w:footer="1002" w:top="940" w:bottom="1200" w:left="1220" w:right="1320"/>
        </w:sectPr>
      </w:pPr>
    </w:p>
    <w:p>
      <w:pPr>
        <w:pStyle w:val="BodyText"/>
        <w:rPr>
          <w:sz w:val="20"/>
        </w:rPr>
      </w:pPr>
    </w:p>
    <w:p>
      <w:pPr>
        <w:pStyle w:val="ListParagraph"/>
        <w:numPr>
          <w:ilvl w:val="3"/>
          <w:numId w:val="4"/>
        </w:numPr>
        <w:tabs>
          <w:tab w:pos="840" w:val="left" w:leader="none"/>
          <w:tab w:pos="841" w:val="left" w:leader="none"/>
        </w:tabs>
        <w:spacing w:line="240" w:lineRule="auto" w:before="247" w:after="0"/>
        <w:ind w:left="840" w:right="0" w:hanging="360"/>
        <w:jc w:val="left"/>
        <w:rPr>
          <w:sz w:val="24"/>
        </w:rPr>
      </w:pPr>
      <w:r>
        <w:rPr>
          <w:sz w:val="24"/>
        </w:rPr>
        <w:t>Corporate Boards that are composed of one person, the charter</w:t>
      </w:r>
      <w:r>
        <w:rPr>
          <w:spacing w:val="-53"/>
          <w:sz w:val="24"/>
        </w:rPr>
        <w:t> </w:t>
      </w:r>
      <w:r>
        <w:rPr>
          <w:sz w:val="24"/>
        </w:rPr>
        <w:t>holder.</w:t>
      </w:r>
    </w:p>
    <w:p>
      <w:pPr>
        <w:pStyle w:val="ListParagraph"/>
        <w:numPr>
          <w:ilvl w:val="3"/>
          <w:numId w:val="4"/>
        </w:numPr>
        <w:tabs>
          <w:tab w:pos="840" w:val="left" w:leader="none"/>
          <w:tab w:pos="841" w:val="left" w:leader="none"/>
        </w:tabs>
        <w:spacing w:line="268" w:lineRule="auto" w:before="37" w:after="0"/>
        <w:ind w:left="840" w:right="381" w:hanging="360"/>
        <w:jc w:val="left"/>
        <w:rPr>
          <w:sz w:val="24"/>
        </w:rPr>
      </w:pPr>
      <w:r>
        <w:rPr>
          <w:sz w:val="24"/>
        </w:rPr>
        <w:t>Corporate Boards that are composed of two people, husband and wife who</w:t>
      </w:r>
      <w:r>
        <w:rPr>
          <w:spacing w:val="-29"/>
          <w:sz w:val="24"/>
        </w:rPr>
        <w:t> </w:t>
      </w:r>
      <w:r>
        <w:rPr>
          <w:sz w:val="24"/>
        </w:rPr>
        <w:t>are also the charter</w:t>
      </w:r>
      <w:r>
        <w:rPr>
          <w:spacing w:val="-19"/>
          <w:sz w:val="24"/>
        </w:rPr>
        <w:t> </w:t>
      </w:r>
      <w:r>
        <w:rPr>
          <w:sz w:val="24"/>
        </w:rPr>
        <w:t>holders.</w:t>
      </w:r>
    </w:p>
    <w:p>
      <w:pPr>
        <w:pStyle w:val="ListParagraph"/>
        <w:numPr>
          <w:ilvl w:val="3"/>
          <w:numId w:val="4"/>
        </w:numPr>
        <w:tabs>
          <w:tab w:pos="840" w:val="left" w:leader="none"/>
          <w:tab w:pos="841" w:val="left" w:leader="none"/>
        </w:tabs>
        <w:spacing w:line="240" w:lineRule="auto" w:before="9" w:after="0"/>
        <w:ind w:left="840" w:right="0" w:hanging="360"/>
        <w:jc w:val="left"/>
        <w:rPr>
          <w:sz w:val="24"/>
        </w:rPr>
      </w:pPr>
      <w:r>
        <w:rPr>
          <w:sz w:val="24"/>
        </w:rPr>
        <w:t>Corporate Boards that are composed of two</w:t>
      </w:r>
      <w:r>
        <w:rPr>
          <w:spacing w:val="-38"/>
          <w:sz w:val="24"/>
        </w:rPr>
        <w:t> </w:t>
      </w:r>
      <w:r>
        <w:rPr>
          <w:sz w:val="24"/>
        </w:rPr>
        <w:t>couples.</w:t>
      </w:r>
    </w:p>
    <w:p>
      <w:pPr>
        <w:pStyle w:val="ListParagraph"/>
        <w:numPr>
          <w:ilvl w:val="3"/>
          <w:numId w:val="4"/>
        </w:numPr>
        <w:tabs>
          <w:tab w:pos="840" w:val="left" w:leader="none"/>
          <w:tab w:pos="841" w:val="left" w:leader="none"/>
        </w:tabs>
        <w:spacing w:line="240" w:lineRule="auto" w:before="34" w:after="0"/>
        <w:ind w:left="840" w:right="0" w:hanging="360"/>
        <w:jc w:val="left"/>
        <w:rPr>
          <w:sz w:val="24"/>
        </w:rPr>
      </w:pPr>
      <w:r>
        <w:rPr>
          <w:sz w:val="24"/>
        </w:rPr>
        <w:t>Corporate Boards filled with relatives of the charter</w:t>
      </w:r>
      <w:r>
        <w:rPr>
          <w:spacing w:val="-41"/>
          <w:sz w:val="24"/>
        </w:rPr>
        <w:t> </w:t>
      </w:r>
      <w:r>
        <w:rPr>
          <w:sz w:val="24"/>
        </w:rPr>
        <w:t>holder.</w:t>
      </w:r>
    </w:p>
    <w:p>
      <w:pPr>
        <w:pStyle w:val="ListParagraph"/>
        <w:numPr>
          <w:ilvl w:val="3"/>
          <w:numId w:val="4"/>
        </w:numPr>
        <w:tabs>
          <w:tab w:pos="840" w:val="left" w:leader="none"/>
          <w:tab w:pos="841" w:val="left" w:leader="none"/>
        </w:tabs>
        <w:spacing w:line="240" w:lineRule="auto" w:before="37" w:after="0"/>
        <w:ind w:left="840" w:right="0" w:hanging="360"/>
        <w:jc w:val="left"/>
        <w:rPr>
          <w:sz w:val="24"/>
        </w:rPr>
      </w:pPr>
      <w:r>
        <w:rPr>
          <w:sz w:val="24"/>
        </w:rPr>
        <w:t>Corporate</w:t>
      </w:r>
      <w:r>
        <w:rPr>
          <w:spacing w:val="-4"/>
          <w:sz w:val="24"/>
        </w:rPr>
        <w:t> </w:t>
      </w:r>
      <w:r>
        <w:rPr>
          <w:sz w:val="24"/>
        </w:rPr>
        <w:t>Boards</w:t>
      </w:r>
      <w:r>
        <w:rPr>
          <w:spacing w:val="-3"/>
          <w:sz w:val="24"/>
        </w:rPr>
        <w:t> </w:t>
      </w:r>
      <w:r>
        <w:rPr>
          <w:sz w:val="24"/>
        </w:rPr>
        <w:t>where</w:t>
      </w:r>
      <w:r>
        <w:rPr>
          <w:spacing w:val="-3"/>
          <w:sz w:val="24"/>
        </w:rPr>
        <w:t> </w:t>
      </w:r>
      <w:r>
        <w:rPr>
          <w:sz w:val="24"/>
        </w:rPr>
        <w:t>the</w:t>
      </w:r>
      <w:r>
        <w:rPr>
          <w:spacing w:val="-3"/>
          <w:sz w:val="24"/>
        </w:rPr>
        <w:t> </w:t>
      </w:r>
      <w:r>
        <w:rPr>
          <w:sz w:val="24"/>
        </w:rPr>
        <w:t>charter</w:t>
      </w:r>
      <w:r>
        <w:rPr>
          <w:spacing w:val="-3"/>
          <w:sz w:val="24"/>
        </w:rPr>
        <w:t> </w:t>
      </w:r>
      <w:r>
        <w:rPr>
          <w:sz w:val="24"/>
        </w:rPr>
        <w:t>holder</w:t>
      </w:r>
      <w:r>
        <w:rPr>
          <w:spacing w:val="-3"/>
          <w:sz w:val="24"/>
        </w:rPr>
        <w:t> </w:t>
      </w:r>
      <w:r>
        <w:rPr>
          <w:sz w:val="24"/>
        </w:rPr>
        <w:t>is</w:t>
      </w:r>
      <w:r>
        <w:rPr>
          <w:spacing w:val="-3"/>
          <w:sz w:val="24"/>
        </w:rPr>
        <w:t> </w:t>
      </w:r>
      <w:r>
        <w:rPr>
          <w:sz w:val="24"/>
        </w:rPr>
        <w:t>the</w:t>
      </w:r>
      <w:r>
        <w:rPr>
          <w:spacing w:val="-5"/>
          <w:sz w:val="24"/>
        </w:rPr>
        <w:t> </w:t>
      </w:r>
      <w:r>
        <w:rPr>
          <w:sz w:val="24"/>
        </w:rPr>
        <w:t>board</w:t>
      </w:r>
      <w:r>
        <w:rPr>
          <w:spacing w:val="-3"/>
          <w:sz w:val="24"/>
        </w:rPr>
        <w:t> </w:t>
      </w:r>
      <w:r>
        <w:rPr>
          <w:sz w:val="24"/>
        </w:rPr>
        <w:t>chair</w:t>
      </w:r>
      <w:r>
        <w:rPr>
          <w:spacing w:val="-5"/>
          <w:sz w:val="24"/>
        </w:rPr>
        <w:t> </w:t>
      </w:r>
      <w:r>
        <w:rPr>
          <w:sz w:val="24"/>
        </w:rPr>
        <w:t>/</w:t>
      </w:r>
      <w:r>
        <w:rPr>
          <w:spacing w:val="-31"/>
          <w:sz w:val="24"/>
        </w:rPr>
        <w:t> </w:t>
      </w:r>
      <w:r>
        <w:rPr>
          <w:sz w:val="24"/>
        </w:rPr>
        <w:t>president.</w:t>
      </w:r>
    </w:p>
    <w:p>
      <w:pPr>
        <w:pStyle w:val="ListParagraph"/>
        <w:numPr>
          <w:ilvl w:val="3"/>
          <w:numId w:val="4"/>
        </w:numPr>
        <w:tabs>
          <w:tab w:pos="840" w:val="left" w:leader="none"/>
          <w:tab w:pos="841" w:val="left" w:leader="none"/>
        </w:tabs>
        <w:spacing w:line="240" w:lineRule="auto" w:before="37" w:after="0"/>
        <w:ind w:left="840" w:right="0" w:hanging="360"/>
        <w:jc w:val="left"/>
        <w:rPr>
          <w:sz w:val="24"/>
        </w:rPr>
      </w:pPr>
      <w:r>
        <w:rPr>
          <w:sz w:val="24"/>
        </w:rPr>
        <w:t>Corporate Boards and charter holders that do not reside in</w:t>
      </w:r>
      <w:r>
        <w:rPr>
          <w:spacing w:val="-50"/>
          <w:sz w:val="24"/>
        </w:rPr>
        <w:t> </w:t>
      </w:r>
      <w:r>
        <w:rPr>
          <w:sz w:val="24"/>
        </w:rPr>
        <w:t>Arizona.</w:t>
      </w:r>
    </w:p>
    <w:p>
      <w:pPr>
        <w:pStyle w:val="ListParagraph"/>
        <w:numPr>
          <w:ilvl w:val="3"/>
          <w:numId w:val="4"/>
        </w:numPr>
        <w:tabs>
          <w:tab w:pos="841" w:val="left" w:leader="none"/>
        </w:tabs>
        <w:spacing w:line="276" w:lineRule="auto" w:before="39" w:after="0"/>
        <w:ind w:left="840" w:right="105" w:hanging="360"/>
        <w:jc w:val="both"/>
        <w:rPr>
          <w:sz w:val="24"/>
        </w:rPr>
      </w:pPr>
      <w:r>
        <w:rPr>
          <w:sz w:val="24"/>
        </w:rPr>
        <w:t>Corporate Boards that are the same for related-party subsidiaries dealing</w:t>
      </w:r>
      <w:r>
        <w:rPr>
          <w:spacing w:val="-34"/>
          <w:sz w:val="24"/>
        </w:rPr>
        <w:t> </w:t>
      </w:r>
      <w:r>
        <w:rPr>
          <w:sz w:val="24"/>
        </w:rPr>
        <w:t>with the non-profit charter. Salaries and distributions from these subsidiaries are not reported on the Audits. Money moving to the subsidiaries is noted in the Related- Party section of the</w:t>
      </w:r>
      <w:r>
        <w:rPr>
          <w:spacing w:val="-18"/>
          <w:sz w:val="24"/>
        </w:rPr>
        <w:t> </w:t>
      </w:r>
      <w:r>
        <w:rPr>
          <w:sz w:val="24"/>
        </w:rPr>
        <w:t>Audit.</w:t>
      </w:r>
    </w:p>
    <w:p>
      <w:pPr>
        <w:pStyle w:val="BodyText"/>
        <w:spacing w:line="247" w:lineRule="auto" w:before="7"/>
        <w:ind w:left="1560" w:right="262" w:hanging="360"/>
      </w:pPr>
      <w:r>
        <w:rPr>
          <w:rFonts w:ascii="Courier New"/>
        </w:rPr>
        <w:t>o </w:t>
      </w:r>
      <w:r>
        <w:rPr/>
        <w:t>Related-Party Transactions that were present on the Audit were not always included in IRS Form 990 for the same firm.</w:t>
      </w:r>
    </w:p>
    <w:p>
      <w:pPr>
        <w:pStyle w:val="BodyText"/>
        <w:spacing w:line="276" w:lineRule="auto" w:before="234"/>
        <w:ind w:left="120" w:right="105"/>
        <w:jc w:val="both"/>
      </w:pPr>
      <w:r>
        <w:rPr/>
        <w:t>In normal school business operations this would be considered improper or irregular but the practice is legal for charter schools. The stated aim of the rules is to provide greater flexibility and budgetary savings. However, without oversight it can also lead to self- serving financial ends that reduce resources going to students.</w:t>
      </w:r>
    </w:p>
    <w:p>
      <w:pPr>
        <w:pStyle w:val="BodyText"/>
        <w:spacing w:line="273" w:lineRule="auto" w:before="200"/>
        <w:ind w:left="120" w:right="106"/>
        <w:jc w:val="both"/>
      </w:pPr>
      <w:r>
        <w:rPr/>
        <w:t>Using</w:t>
      </w:r>
      <w:r>
        <w:rPr>
          <w:spacing w:val="-12"/>
        </w:rPr>
        <w:t> </w:t>
      </w:r>
      <w:r>
        <w:rPr/>
        <w:t>a</w:t>
      </w:r>
      <w:r>
        <w:rPr>
          <w:spacing w:val="-12"/>
        </w:rPr>
        <w:t> </w:t>
      </w:r>
      <w:r>
        <w:rPr/>
        <w:t>formula</w:t>
      </w:r>
      <w:r>
        <w:rPr>
          <w:spacing w:val="-9"/>
        </w:rPr>
        <w:t> </w:t>
      </w:r>
      <w:r>
        <w:rPr/>
        <w:t>that</w:t>
      </w:r>
      <w:r>
        <w:rPr>
          <w:spacing w:val="-12"/>
        </w:rPr>
        <w:t> </w:t>
      </w:r>
      <w:r>
        <w:rPr/>
        <w:t>analyzed</w:t>
      </w:r>
      <w:r>
        <w:rPr>
          <w:spacing w:val="-9"/>
        </w:rPr>
        <w:t> </w:t>
      </w:r>
      <w:r>
        <w:rPr/>
        <w:t>the</w:t>
      </w:r>
      <w:r>
        <w:rPr>
          <w:spacing w:val="-9"/>
        </w:rPr>
        <w:t> </w:t>
      </w:r>
      <w:r>
        <w:rPr/>
        <w:t>related-party</w:t>
      </w:r>
      <w:r>
        <w:rPr>
          <w:spacing w:val="-13"/>
        </w:rPr>
        <w:t> </w:t>
      </w:r>
      <w:r>
        <w:rPr/>
        <w:t>expenditures</w:t>
      </w:r>
      <w:r>
        <w:rPr>
          <w:spacing w:val="-12"/>
        </w:rPr>
        <w:t> </w:t>
      </w:r>
      <w:r>
        <w:rPr/>
        <w:t>reported</w:t>
      </w:r>
      <w:r>
        <w:rPr>
          <w:spacing w:val="-9"/>
        </w:rPr>
        <w:t> </w:t>
      </w:r>
      <w:r>
        <w:rPr/>
        <w:t>the</w:t>
      </w:r>
      <w:r>
        <w:rPr>
          <w:spacing w:val="-12"/>
        </w:rPr>
        <w:t> </w:t>
      </w:r>
      <w:r>
        <w:rPr/>
        <w:t>research</w:t>
      </w:r>
      <w:r>
        <w:rPr>
          <w:spacing w:val="-12"/>
        </w:rPr>
        <w:t> </w:t>
      </w:r>
      <w:r>
        <w:rPr/>
        <w:t>found that only 23%</w:t>
      </w:r>
      <w:hyperlink w:history="true" w:anchor="_bookmark27">
        <w:r>
          <w:rPr>
            <w:position w:val="8"/>
            <w:sz w:val="16"/>
          </w:rPr>
          <w:t>9</w:t>
        </w:r>
      </w:hyperlink>
      <w:r>
        <w:rPr>
          <w:position w:val="8"/>
          <w:sz w:val="16"/>
        </w:rPr>
        <w:t> </w:t>
      </w:r>
      <w:r>
        <w:rPr/>
        <w:t>of charter schools do not conduct related-party business </w:t>
      </w:r>
      <w:r>
        <w:rPr>
          <w:i/>
        </w:rPr>
        <w:t>or do so </w:t>
      </w:r>
      <w:r>
        <w:rPr/>
        <w:t>for efficiency and cost-savings. Additionally schools so identified were also rated by the ASBCS on their Financial Performance and whether they had earned a “C” or greater</w:t>
      </w:r>
      <w:r>
        <w:rPr>
          <w:spacing w:val="-47"/>
        </w:rPr>
        <w:t> </w:t>
      </w:r>
      <w:r>
        <w:rPr/>
        <w:t>on the Academic Standards</w:t>
      </w:r>
      <w:hyperlink w:history="true" w:anchor="_bookmark28">
        <w:r>
          <w:rPr>
            <w:position w:val="8"/>
            <w:sz w:val="16"/>
          </w:rPr>
          <w:t>10</w:t>
        </w:r>
      </w:hyperlink>
      <w:r>
        <w:rPr/>
        <w:t>. A total of 91 charters met this</w:t>
      </w:r>
      <w:r>
        <w:rPr>
          <w:spacing w:val="-46"/>
        </w:rPr>
        <w:t> </w:t>
      </w:r>
      <w:r>
        <w:rPr/>
        <w:t>criteria.</w:t>
      </w:r>
    </w:p>
    <w:p>
      <w:pPr>
        <w:pStyle w:val="BodyText"/>
        <w:spacing w:line="276" w:lineRule="auto" w:before="201"/>
        <w:ind w:left="120" w:right="119"/>
        <w:jc w:val="both"/>
      </w:pPr>
      <w:r>
        <w:rPr/>
        <w:t>95% of all charters have applied for and received permission to sidestep the normal district property acquisition and bidding process. De facto 100% can do so. Yet the analysis here indicates that this has not resulted in a more efficient use of resources.</w:t>
      </w:r>
    </w:p>
    <w:p>
      <w:pPr>
        <w:pStyle w:val="BodyText"/>
        <w:spacing w:before="2"/>
        <w:rPr>
          <w:sz w:val="28"/>
        </w:rPr>
      </w:pPr>
      <w:r>
        <w:rPr/>
        <w:pict>
          <v:line style="position:absolute;mso-position-horizontal-relative:page;mso-position-vertical-relative:paragraph;z-index:1360;mso-wrap-distance-left:0;mso-wrap-distance-right:0" from="113.75pt,18.42462pt" to="498.25pt,18.42462pt" stroked="true" strokeweight=".48pt" strokecolor="#5b9bd4">
            <v:stroke dashstyle="solid"/>
            <w10:wrap type="topAndBottom"/>
          </v:line>
        </w:pict>
      </w:r>
    </w:p>
    <w:p>
      <w:pPr>
        <w:spacing w:line="256" w:lineRule="auto" w:before="150"/>
        <w:ind w:left="4402" w:right="1155" w:hanging="3229"/>
        <w:jc w:val="left"/>
        <w:rPr>
          <w:i/>
          <w:sz w:val="22"/>
        </w:rPr>
      </w:pPr>
      <w:r>
        <w:rPr>
          <w:i/>
          <w:sz w:val="22"/>
        </w:rPr>
        <w:t>When someone says it’s not about the money, it’s about the money. – H.L. </w:t>
      </w:r>
      <w:r>
        <w:rPr>
          <w:i/>
          <w:sz w:val="22"/>
        </w:rPr>
        <w:t>M</w:t>
      </w:r>
      <w:r>
        <w:rPr>
          <w:sz w:val="24"/>
        </w:rPr>
        <w:t>e</w:t>
      </w:r>
      <w:r>
        <w:rPr>
          <w:i/>
          <w:sz w:val="22"/>
        </w:rPr>
        <w:t>nken</w:t>
      </w:r>
    </w:p>
    <w:p>
      <w:pPr>
        <w:pStyle w:val="BodyText"/>
        <w:spacing w:before="5"/>
        <w:rPr>
          <w:i/>
          <w:sz w:val="14"/>
        </w:rPr>
      </w:pPr>
      <w:r>
        <w:rPr/>
        <w:pict>
          <v:line style="position:absolute;mso-position-horizontal-relative:page;mso-position-vertical-relative:paragraph;z-index:1384;mso-wrap-distance-left:0;mso-wrap-distance-right:0" from="113.75pt,10.546469pt" to="498.25pt,10.546469pt" stroked="true" strokeweight=".48102pt" strokecolor="#5b9bd4">
            <v:stroke dashstyle="solid"/>
            <w10:wrap type="topAndBottom"/>
          </v:line>
        </w:pic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11"/>
        </w:rPr>
      </w:pPr>
      <w:r>
        <w:rPr/>
        <w:pict>
          <v:line style="position:absolute;mso-position-horizontal-relative:page;mso-position-vertical-relative:paragraph;z-index:1408;mso-wrap-distance-left:0;mso-wrap-distance-right:0" from="72pt,8.653906pt" to="216pt,8.653906pt" stroked="true" strokeweight=".72pt" strokecolor="#000000">
            <v:stroke dashstyle="solid"/>
            <w10:wrap type="topAndBottom"/>
          </v:line>
        </w:pict>
      </w:r>
    </w:p>
    <w:p>
      <w:pPr>
        <w:spacing w:before="44"/>
        <w:ind w:left="120" w:right="113" w:firstLine="0"/>
        <w:jc w:val="left"/>
        <w:rPr>
          <w:rFonts w:ascii="Calibri" w:hAnsi="Calibri"/>
          <w:sz w:val="20"/>
        </w:rPr>
      </w:pPr>
      <w:bookmarkStart w:name="_bookmark27" w:id="28"/>
      <w:bookmarkEnd w:id="28"/>
      <w:r>
        <w:rPr/>
      </w:r>
      <w:r>
        <w:rPr>
          <w:rFonts w:ascii="Calibri" w:hAnsi="Calibri"/>
          <w:position w:val="7"/>
          <w:sz w:val="13"/>
        </w:rPr>
        <w:t>9 </w:t>
      </w:r>
      <w:r>
        <w:rPr>
          <w:rFonts w:ascii="Calibri" w:hAnsi="Calibri"/>
          <w:sz w:val="20"/>
        </w:rPr>
        <w:t>For a discussion regarding how this percentage was reached see Addendum. Briefly an evaluation was done regarding several factors. No Related Party transactions, Limited Related Party Transactions justified by the fact they met the criteria “the transaction saved money” and there was no evidence of profiteering.</w:t>
      </w:r>
    </w:p>
    <w:p>
      <w:pPr>
        <w:spacing w:before="1"/>
        <w:ind w:left="120" w:right="121" w:firstLine="0"/>
        <w:jc w:val="left"/>
        <w:rPr>
          <w:rFonts w:ascii="Calibri" w:hAnsi="Calibri"/>
          <w:sz w:val="20"/>
        </w:rPr>
      </w:pPr>
      <w:bookmarkStart w:name="_bookmark28" w:id="29"/>
      <w:bookmarkEnd w:id="29"/>
      <w:r>
        <w:rPr/>
      </w:r>
      <w:r>
        <w:rPr>
          <w:rFonts w:ascii="Calibri" w:hAnsi="Calibri"/>
          <w:position w:val="7"/>
          <w:sz w:val="13"/>
        </w:rPr>
        <w:t>10 </w:t>
      </w:r>
      <w:r>
        <w:rPr>
          <w:rFonts w:ascii="Calibri" w:hAnsi="Calibri"/>
          <w:sz w:val="20"/>
        </w:rPr>
        <w:t>Prior to the year (2013) when the Academic Standards were enforced 32% of all of the existing charters changed their status. They switched from “Traditional” to Alternate Status. The Alternate Status allowed those charters to be academically rated by a different criteria than the standards used for Traditional status, i.e., a lower standard was applied.</w:t>
      </w:r>
    </w:p>
    <w:p>
      <w:pPr>
        <w:spacing w:after="0"/>
        <w:jc w:val="left"/>
        <w:rPr>
          <w:rFonts w:ascii="Calibri" w:hAnsi="Calibri"/>
          <w:sz w:val="20"/>
        </w:rPr>
        <w:sectPr>
          <w:footerReference w:type="default" r:id="rId29"/>
          <w:pgSz w:w="12240" w:h="15840"/>
          <w:pgMar w:footer="1002" w:header="740" w:top="940" w:bottom="1200" w:left="1320" w:right="1320"/>
          <w:pgNumType w:start="31"/>
        </w:sectPr>
      </w:pPr>
    </w:p>
    <w:p>
      <w:pPr>
        <w:pStyle w:val="BodyText"/>
        <w:rPr>
          <w:rFonts w:ascii="Calibri"/>
          <w:sz w:val="20"/>
        </w:rPr>
      </w:pPr>
    </w:p>
    <w:p>
      <w:pPr>
        <w:pStyle w:val="BodyText"/>
        <w:spacing w:before="3"/>
        <w:rPr>
          <w:rFonts w:ascii="Calibri"/>
          <w:sz w:val="19"/>
        </w:rPr>
      </w:pPr>
    </w:p>
    <w:p>
      <w:pPr>
        <w:pStyle w:val="Heading2"/>
        <w:ind w:left="160"/>
      </w:pPr>
      <w:bookmarkStart w:name="_bookmark29" w:id="30"/>
      <w:bookmarkEnd w:id="30"/>
      <w:r>
        <w:rPr>
          <w:b w:val="0"/>
        </w:rPr>
      </w:r>
      <w:r>
        <w:rPr>
          <w:color w:val="4F81BC"/>
        </w:rPr>
        <w:t>Figure 2: Nonprofit and For Profit Coordination in Charters</w:t>
      </w:r>
    </w:p>
    <w:p>
      <w:pPr>
        <w:pStyle w:val="BodyText"/>
        <w:rPr>
          <w:b/>
          <w:sz w:val="20"/>
        </w:rPr>
      </w:pPr>
    </w:p>
    <w:p>
      <w:pPr>
        <w:pStyle w:val="BodyText"/>
        <w:spacing w:before="9"/>
        <w:rPr>
          <w:b/>
          <w:sz w:val="12"/>
        </w:rPr>
      </w:pPr>
      <w:r>
        <w:rPr/>
        <w:drawing>
          <wp:anchor distT="0" distB="0" distL="0" distR="0" allowOverlap="1" layoutInCell="1" locked="0" behindDoc="0" simplePos="0" relativeHeight="1432">
            <wp:simplePos x="0" y="0"/>
            <wp:positionH relativeFrom="page">
              <wp:posOffset>876300</wp:posOffset>
            </wp:positionH>
            <wp:positionV relativeFrom="paragraph">
              <wp:posOffset>118206</wp:posOffset>
            </wp:positionV>
            <wp:extent cx="6143175" cy="7106793"/>
            <wp:effectExtent l="0" t="0" r="0" b="0"/>
            <wp:wrapTopAndBottom/>
            <wp:docPr id="27" name="image17.jpeg" descr=""/>
            <wp:cNvGraphicFramePr>
              <a:graphicFrameLocks noChangeAspect="1"/>
            </wp:cNvGraphicFramePr>
            <a:graphic>
              <a:graphicData uri="http://schemas.openxmlformats.org/drawingml/2006/picture">
                <pic:pic>
                  <pic:nvPicPr>
                    <pic:cNvPr id="28" name="image17.jpeg"/>
                    <pic:cNvPicPr/>
                  </pic:nvPicPr>
                  <pic:blipFill>
                    <a:blip r:embed="rId30" cstate="print"/>
                    <a:stretch>
                      <a:fillRect/>
                    </a:stretch>
                  </pic:blipFill>
                  <pic:spPr>
                    <a:xfrm>
                      <a:off x="0" y="0"/>
                      <a:ext cx="6143175" cy="7106793"/>
                    </a:xfrm>
                    <a:prstGeom prst="rect">
                      <a:avLst/>
                    </a:prstGeom>
                  </pic:spPr>
                </pic:pic>
              </a:graphicData>
            </a:graphic>
          </wp:anchor>
        </w:drawing>
      </w:r>
    </w:p>
    <w:p>
      <w:pPr>
        <w:pStyle w:val="BodyText"/>
        <w:spacing w:before="3"/>
        <w:rPr>
          <w:b/>
          <w:sz w:val="21"/>
        </w:rPr>
      </w:pPr>
    </w:p>
    <w:p>
      <w:pPr>
        <w:spacing w:before="0"/>
        <w:ind w:left="160" w:right="822" w:firstLine="0"/>
        <w:jc w:val="left"/>
        <w:rPr>
          <w:sz w:val="22"/>
        </w:rPr>
      </w:pPr>
      <w:r>
        <w:rPr>
          <w:sz w:val="22"/>
        </w:rPr>
        <w:t>*The “owners” listed are also the charter holders of the Non-Profit Charter School. They are owners of the for profit subsidiaries.</w:t>
      </w:r>
    </w:p>
    <w:p>
      <w:pPr>
        <w:spacing w:after="0"/>
        <w:jc w:val="left"/>
        <w:rPr>
          <w:sz w:val="22"/>
        </w:rPr>
        <w:sectPr>
          <w:pgSz w:w="12240" w:h="15840"/>
          <w:pgMar w:header="740" w:footer="1002" w:top="940" w:bottom="1200" w:left="1280" w:right="1080"/>
        </w:sectPr>
      </w:pPr>
    </w:p>
    <w:p>
      <w:pPr>
        <w:pStyle w:val="BodyText"/>
        <w:rPr>
          <w:sz w:val="20"/>
        </w:rPr>
      </w:pPr>
    </w:p>
    <w:p>
      <w:pPr>
        <w:pStyle w:val="BodyText"/>
        <w:spacing w:before="5"/>
        <w:rPr>
          <w:sz w:val="21"/>
        </w:rPr>
      </w:pPr>
    </w:p>
    <w:p>
      <w:pPr>
        <w:pStyle w:val="BodyText"/>
        <w:ind w:left="220" w:right="110"/>
        <w:jc w:val="both"/>
      </w:pPr>
      <w:r>
        <w:rPr/>
        <w:t>An</w:t>
      </w:r>
      <w:r>
        <w:rPr>
          <w:spacing w:val="-14"/>
        </w:rPr>
        <w:t> </w:t>
      </w:r>
      <w:r>
        <w:rPr/>
        <w:t>analysis</w:t>
      </w:r>
      <w:r>
        <w:rPr>
          <w:spacing w:val="-13"/>
        </w:rPr>
        <w:t> </w:t>
      </w:r>
      <w:r>
        <w:rPr/>
        <w:t>of</w:t>
      </w:r>
      <w:r>
        <w:rPr>
          <w:spacing w:val="-10"/>
        </w:rPr>
        <w:t> </w:t>
      </w:r>
      <w:r>
        <w:rPr/>
        <w:t>conflicts</w:t>
      </w:r>
      <w:r>
        <w:rPr>
          <w:spacing w:val="-17"/>
        </w:rPr>
        <w:t> </w:t>
      </w:r>
      <w:r>
        <w:rPr/>
        <w:t>of</w:t>
      </w:r>
      <w:r>
        <w:rPr>
          <w:spacing w:val="-10"/>
        </w:rPr>
        <w:t> </w:t>
      </w:r>
      <w:r>
        <w:rPr/>
        <w:t>interest</w:t>
      </w:r>
      <w:r>
        <w:rPr>
          <w:spacing w:val="-14"/>
        </w:rPr>
        <w:t> </w:t>
      </w:r>
      <w:r>
        <w:rPr/>
        <w:t>that</w:t>
      </w:r>
      <w:r>
        <w:rPr>
          <w:spacing w:val="-14"/>
        </w:rPr>
        <w:t> </w:t>
      </w:r>
      <w:r>
        <w:rPr/>
        <w:t>are</w:t>
      </w:r>
      <w:r>
        <w:rPr>
          <w:spacing w:val="-15"/>
        </w:rPr>
        <w:t> </w:t>
      </w:r>
      <w:r>
        <w:rPr/>
        <w:t>allowed</w:t>
      </w:r>
      <w:r>
        <w:rPr>
          <w:spacing w:val="-12"/>
        </w:rPr>
        <w:t> </w:t>
      </w:r>
      <w:r>
        <w:rPr/>
        <w:t>(sanctioned)</w:t>
      </w:r>
      <w:r>
        <w:rPr>
          <w:spacing w:val="-16"/>
        </w:rPr>
        <w:t> </w:t>
      </w:r>
      <w:r>
        <w:rPr/>
        <w:t>under</w:t>
      </w:r>
      <w:r>
        <w:rPr>
          <w:spacing w:val="-13"/>
        </w:rPr>
        <w:t> </w:t>
      </w:r>
      <w:r>
        <w:rPr/>
        <w:t>the</w:t>
      </w:r>
      <w:r>
        <w:rPr>
          <w:spacing w:val="-14"/>
        </w:rPr>
        <w:t> </w:t>
      </w:r>
      <w:r>
        <w:rPr/>
        <w:t>current</w:t>
      </w:r>
      <w:r>
        <w:rPr>
          <w:spacing w:val="-14"/>
        </w:rPr>
        <w:t> </w:t>
      </w:r>
      <w:r>
        <w:rPr/>
        <w:t>statutes and</w:t>
      </w:r>
      <w:r>
        <w:rPr>
          <w:spacing w:val="-15"/>
        </w:rPr>
        <w:t> </w:t>
      </w:r>
      <w:r>
        <w:rPr/>
        <w:t>rules</w:t>
      </w:r>
      <w:r>
        <w:rPr>
          <w:spacing w:val="-15"/>
        </w:rPr>
        <w:t> </w:t>
      </w:r>
      <w:r>
        <w:rPr/>
        <w:t>guided</w:t>
      </w:r>
      <w:r>
        <w:rPr>
          <w:spacing w:val="-15"/>
        </w:rPr>
        <w:t> </w:t>
      </w:r>
      <w:r>
        <w:rPr/>
        <w:t>the</w:t>
      </w:r>
      <w:r>
        <w:rPr>
          <w:spacing w:val="-17"/>
        </w:rPr>
        <w:t> </w:t>
      </w:r>
      <w:r>
        <w:rPr/>
        <w:t>analysis</w:t>
      </w:r>
      <w:r>
        <w:rPr>
          <w:spacing w:val="-16"/>
        </w:rPr>
        <w:t> </w:t>
      </w:r>
      <w:r>
        <w:rPr/>
        <w:t>and</w:t>
      </w:r>
      <w:r>
        <w:rPr>
          <w:spacing w:val="-15"/>
        </w:rPr>
        <w:t> </w:t>
      </w:r>
      <w:r>
        <w:rPr/>
        <w:t>sorting</w:t>
      </w:r>
      <w:r>
        <w:rPr>
          <w:spacing w:val="-17"/>
        </w:rPr>
        <w:t> </w:t>
      </w:r>
      <w:r>
        <w:rPr/>
        <w:t>of</w:t>
      </w:r>
      <w:r>
        <w:rPr>
          <w:spacing w:val="-14"/>
        </w:rPr>
        <w:t> </w:t>
      </w:r>
      <w:r>
        <w:rPr/>
        <w:t>the</w:t>
      </w:r>
      <w:r>
        <w:rPr>
          <w:spacing w:val="-15"/>
        </w:rPr>
        <w:t> </w:t>
      </w:r>
      <w:r>
        <w:rPr/>
        <w:t>meta-data.</w:t>
      </w:r>
      <w:r>
        <w:rPr>
          <w:spacing w:val="-17"/>
        </w:rPr>
        <w:t> </w:t>
      </w:r>
      <w:r>
        <w:rPr/>
        <w:t>The</w:t>
      </w:r>
      <w:r>
        <w:rPr>
          <w:spacing w:val="-15"/>
        </w:rPr>
        <w:t> </w:t>
      </w:r>
      <w:r>
        <w:rPr/>
        <w:t>purpose</w:t>
      </w:r>
      <w:r>
        <w:rPr>
          <w:spacing w:val="-15"/>
        </w:rPr>
        <w:t> </w:t>
      </w:r>
      <w:r>
        <w:rPr/>
        <w:t>was</w:t>
      </w:r>
      <w:r>
        <w:rPr>
          <w:spacing w:val="-15"/>
        </w:rPr>
        <w:t> </w:t>
      </w:r>
      <w:r>
        <w:rPr/>
        <w:t>to</w:t>
      </w:r>
      <w:r>
        <w:rPr>
          <w:spacing w:val="-14"/>
        </w:rPr>
        <w:t> </w:t>
      </w:r>
      <w:r>
        <w:rPr/>
        <w:t>determine the extent of the issues involving related-party</w:t>
      </w:r>
      <w:r>
        <w:rPr>
          <w:spacing w:val="-20"/>
        </w:rPr>
        <w:t> </w:t>
      </w:r>
      <w:r>
        <w:rPr/>
        <w:t>transactions.</w:t>
      </w:r>
    </w:p>
    <w:p>
      <w:pPr>
        <w:pStyle w:val="BodyText"/>
        <w:spacing w:before="11"/>
        <w:rPr>
          <w:sz w:val="23"/>
        </w:rPr>
      </w:pPr>
    </w:p>
    <w:p>
      <w:pPr>
        <w:pStyle w:val="BodyText"/>
        <w:ind w:left="220"/>
        <w:jc w:val="both"/>
      </w:pPr>
      <w:r>
        <w:rPr/>
        <w:t>The issue of Related-Party Transactions manifests itself as:</w:t>
      </w:r>
    </w:p>
    <w:p>
      <w:pPr>
        <w:pStyle w:val="ListParagraph"/>
        <w:numPr>
          <w:ilvl w:val="4"/>
          <w:numId w:val="4"/>
        </w:numPr>
        <w:tabs>
          <w:tab w:pos="941" w:val="left" w:leader="none"/>
        </w:tabs>
        <w:spacing w:line="240" w:lineRule="auto" w:before="0" w:after="0"/>
        <w:ind w:left="940" w:right="115" w:hanging="360"/>
        <w:jc w:val="both"/>
        <w:rPr>
          <w:sz w:val="24"/>
        </w:rPr>
      </w:pPr>
      <w:r>
        <w:rPr>
          <w:sz w:val="24"/>
        </w:rPr>
        <w:t>Leases</w:t>
      </w:r>
      <w:r>
        <w:rPr>
          <w:spacing w:val="-13"/>
          <w:sz w:val="24"/>
        </w:rPr>
        <w:t> </w:t>
      </w:r>
      <w:r>
        <w:rPr>
          <w:sz w:val="24"/>
        </w:rPr>
        <w:t>with</w:t>
      </w:r>
      <w:r>
        <w:rPr>
          <w:spacing w:val="-12"/>
          <w:sz w:val="24"/>
        </w:rPr>
        <w:t> </w:t>
      </w:r>
      <w:r>
        <w:rPr>
          <w:sz w:val="24"/>
        </w:rPr>
        <w:t>a</w:t>
      </w:r>
      <w:r>
        <w:rPr>
          <w:spacing w:val="-14"/>
          <w:sz w:val="24"/>
        </w:rPr>
        <w:t> </w:t>
      </w:r>
      <w:r>
        <w:rPr>
          <w:sz w:val="24"/>
        </w:rPr>
        <w:t>related-party</w:t>
      </w:r>
      <w:r>
        <w:rPr>
          <w:spacing w:val="-15"/>
          <w:sz w:val="24"/>
        </w:rPr>
        <w:t> </w:t>
      </w:r>
      <w:r>
        <w:rPr>
          <w:sz w:val="24"/>
        </w:rPr>
        <w:t>subsidiary</w:t>
      </w:r>
      <w:r>
        <w:rPr>
          <w:spacing w:val="-16"/>
          <w:sz w:val="24"/>
        </w:rPr>
        <w:t> </w:t>
      </w:r>
      <w:r>
        <w:rPr>
          <w:sz w:val="24"/>
        </w:rPr>
        <w:t>“for-profit”</w:t>
      </w:r>
      <w:r>
        <w:rPr>
          <w:spacing w:val="-13"/>
          <w:sz w:val="24"/>
        </w:rPr>
        <w:t> </w:t>
      </w:r>
      <w:r>
        <w:rPr>
          <w:sz w:val="24"/>
        </w:rPr>
        <w:t>company</w:t>
      </w:r>
      <w:r>
        <w:rPr>
          <w:spacing w:val="-15"/>
          <w:sz w:val="24"/>
        </w:rPr>
        <w:t> </w:t>
      </w:r>
      <w:r>
        <w:rPr>
          <w:sz w:val="24"/>
        </w:rPr>
        <w:t>(same</w:t>
      </w:r>
      <w:r>
        <w:rPr>
          <w:spacing w:val="-14"/>
          <w:sz w:val="24"/>
        </w:rPr>
        <w:t> </w:t>
      </w:r>
      <w:r>
        <w:rPr>
          <w:sz w:val="24"/>
        </w:rPr>
        <w:t>corporate</w:t>
      </w:r>
      <w:r>
        <w:rPr>
          <w:spacing w:val="40"/>
          <w:sz w:val="24"/>
        </w:rPr>
        <w:t> </w:t>
      </w:r>
      <w:r>
        <w:rPr>
          <w:sz w:val="24"/>
        </w:rPr>
        <w:t>board and charter holder -</w:t>
      </w:r>
      <w:r>
        <w:rPr>
          <w:spacing w:val="-29"/>
          <w:sz w:val="24"/>
        </w:rPr>
        <w:t> </w:t>
      </w:r>
      <w:r>
        <w:rPr>
          <w:sz w:val="24"/>
        </w:rPr>
        <w:t>owner)</w:t>
      </w:r>
    </w:p>
    <w:p>
      <w:pPr>
        <w:pStyle w:val="ListParagraph"/>
        <w:numPr>
          <w:ilvl w:val="4"/>
          <w:numId w:val="4"/>
        </w:numPr>
        <w:tabs>
          <w:tab w:pos="941" w:val="left" w:leader="none"/>
        </w:tabs>
        <w:spacing w:line="240" w:lineRule="auto" w:before="0" w:after="0"/>
        <w:ind w:left="940" w:right="115" w:hanging="360"/>
        <w:jc w:val="both"/>
        <w:rPr>
          <w:sz w:val="24"/>
        </w:rPr>
      </w:pPr>
      <w:r>
        <w:rPr>
          <w:sz w:val="24"/>
        </w:rPr>
        <w:t>Renting</w:t>
      </w:r>
      <w:r>
        <w:rPr>
          <w:spacing w:val="-23"/>
          <w:sz w:val="24"/>
        </w:rPr>
        <w:t> </w:t>
      </w:r>
      <w:r>
        <w:rPr>
          <w:sz w:val="24"/>
        </w:rPr>
        <w:t>from</w:t>
      </w:r>
      <w:r>
        <w:rPr>
          <w:spacing w:val="-19"/>
          <w:sz w:val="24"/>
        </w:rPr>
        <w:t> </w:t>
      </w:r>
      <w:r>
        <w:rPr>
          <w:sz w:val="24"/>
        </w:rPr>
        <w:t>a</w:t>
      </w:r>
      <w:r>
        <w:rPr>
          <w:spacing w:val="-18"/>
          <w:sz w:val="24"/>
        </w:rPr>
        <w:t> </w:t>
      </w:r>
      <w:r>
        <w:rPr>
          <w:sz w:val="24"/>
        </w:rPr>
        <w:t>related-party</w:t>
      </w:r>
      <w:r>
        <w:rPr>
          <w:spacing w:val="-21"/>
          <w:sz w:val="24"/>
        </w:rPr>
        <w:t> </w:t>
      </w:r>
      <w:r>
        <w:rPr>
          <w:sz w:val="24"/>
        </w:rPr>
        <w:t>subsidiary</w:t>
      </w:r>
      <w:r>
        <w:rPr>
          <w:spacing w:val="-22"/>
          <w:sz w:val="24"/>
        </w:rPr>
        <w:t> </w:t>
      </w:r>
      <w:r>
        <w:rPr>
          <w:sz w:val="24"/>
        </w:rPr>
        <w:t>”for-profit”</w:t>
      </w:r>
      <w:r>
        <w:rPr>
          <w:spacing w:val="-20"/>
          <w:sz w:val="24"/>
        </w:rPr>
        <w:t> </w:t>
      </w:r>
      <w:r>
        <w:rPr>
          <w:sz w:val="24"/>
        </w:rPr>
        <w:t>company</w:t>
      </w:r>
      <w:r>
        <w:rPr>
          <w:spacing w:val="-21"/>
          <w:sz w:val="24"/>
        </w:rPr>
        <w:t> </w:t>
      </w:r>
      <w:r>
        <w:rPr>
          <w:sz w:val="24"/>
        </w:rPr>
        <w:t>(same</w:t>
      </w:r>
      <w:r>
        <w:rPr>
          <w:spacing w:val="-18"/>
          <w:sz w:val="24"/>
        </w:rPr>
        <w:t> </w:t>
      </w:r>
      <w:r>
        <w:rPr>
          <w:sz w:val="24"/>
        </w:rPr>
        <w:t>corporate</w:t>
      </w:r>
      <w:r>
        <w:rPr>
          <w:spacing w:val="-20"/>
          <w:sz w:val="24"/>
        </w:rPr>
        <w:t> </w:t>
      </w:r>
      <w:r>
        <w:rPr>
          <w:sz w:val="24"/>
        </w:rPr>
        <w:t>board and charter holder -</w:t>
      </w:r>
      <w:r>
        <w:rPr>
          <w:spacing w:val="-29"/>
          <w:sz w:val="24"/>
        </w:rPr>
        <w:t> </w:t>
      </w:r>
      <w:r>
        <w:rPr>
          <w:sz w:val="24"/>
        </w:rPr>
        <w:t>owner)</w:t>
      </w:r>
    </w:p>
    <w:p>
      <w:pPr>
        <w:pStyle w:val="ListParagraph"/>
        <w:numPr>
          <w:ilvl w:val="4"/>
          <w:numId w:val="4"/>
        </w:numPr>
        <w:tabs>
          <w:tab w:pos="941" w:val="left" w:leader="none"/>
        </w:tabs>
        <w:spacing w:line="240" w:lineRule="auto" w:before="0" w:after="0"/>
        <w:ind w:left="940" w:right="119" w:hanging="360"/>
        <w:jc w:val="both"/>
        <w:rPr>
          <w:sz w:val="24"/>
        </w:rPr>
      </w:pPr>
      <w:r>
        <w:rPr>
          <w:sz w:val="24"/>
        </w:rPr>
        <w:t>Purchasing goods and services from a related party, most often curriculum and software (same corporate board and charter holder -</w:t>
      </w:r>
      <w:r>
        <w:rPr>
          <w:spacing w:val="-46"/>
          <w:sz w:val="24"/>
        </w:rPr>
        <w:t> </w:t>
      </w:r>
      <w:r>
        <w:rPr>
          <w:sz w:val="24"/>
        </w:rPr>
        <w:t>owner)</w:t>
      </w:r>
    </w:p>
    <w:p>
      <w:pPr>
        <w:pStyle w:val="ListParagraph"/>
        <w:numPr>
          <w:ilvl w:val="4"/>
          <w:numId w:val="4"/>
        </w:numPr>
        <w:tabs>
          <w:tab w:pos="941" w:val="left" w:leader="none"/>
        </w:tabs>
        <w:spacing w:line="240" w:lineRule="auto" w:before="0" w:after="0"/>
        <w:ind w:left="940" w:right="118" w:hanging="360"/>
        <w:jc w:val="both"/>
        <w:rPr>
          <w:sz w:val="24"/>
        </w:rPr>
      </w:pPr>
      <w:r>
        <w:rPr>
          <w:sz w:val="24"/>
        </w:rPr>
        <w:t>Corporate Boards that include related contractors, real estate professionals, and finance company</w:t>
      </w:r>
      <w:r>
        <w:rPr>
          <w:spacing w:val="-33"/>
          <w:sz w:val="24"/>
        </w:rPr>
        <w:t> </w:t>
      </w:r>
      <w:r>
        <w:rPr>
          <w:sz w:val="24"/>
        </w:rPr>
        <w:t>representatives</w:t>
      </w:r>
    </w:p>
    <w:p>
      <w:pPr>
        <w:pStyle w:val="ListParagraph"/>
        <w:numPr>
          <w:ilvl w:val="4"/>
          <w:numId w:val="4"/>
        </w:numPr>
        <w:tabs>
          <w:tab w:pos="940" w:val="left" w:leader="none"/>
          <w:tab w:pos="941" w:val="left" w:leader="none"/>
        </w:tabs>
        <w:spacing w:line="240" w:lineRule="auto" w:before="0" w:after="0"/>
        <w:ind w:left="940" w:right="0" w:hanging="360"/>
        <w:jc w:val="left"/>
        <w:rPr>
          <w:sz w:val="24"/>
        </w:rPr>
      </w:pPr>
      <w:r>
        <w:rPr>
          <w:sz w:val="24"/>
        </w:rPr>
        <w:t>Loans and notes to a related party ranging from 0 to 12% interest. Most</w:t>
      </w:r>
      <w:r>
        <w:rPr>
          <w:spacing w:val="-46"/>
          <w:sz w:val="24"/>
        </w:rPr>
        <w:t> </w:t>
      </w:r>
      <w:r>
        <w:rPr>
          <w:sz w:val="24"/>
        </w:rPr>
        <w:t>often 6%.</w:t>
      </w:r>
    </w:p>
    <w:p>
      <w:pPr>
        <w:pStyle w:val="ListParagraph"/>
        <w:numPr>
          <w:ilvl w:val="4"/>
          <w:numId w:val="4"/>
        </w:numPr>
        <w:tabs>
          <w:tab w:pos="937" w:val="left" w:leader="none"/>
          <w:tab w:pos="938" w:val="left" w:leader="none"/>
        </w:tabs>
        <w:spacing w:line="240" w:lineRule="auto" w:before="0" w:after="0"/>
        <w:ind w:left="938" w:right="0" w:hanging="358"/>
        <w:jc w:val="left"/>
        <w:rPr>
          <w:sz w:val="24"/>
        </w:rPr>
      </w:pPr>
      <w:r>
        <w:rPr>
          <w:sz w:val="24"/>
        </w:rPr>
        <w:t>Paying a related party for “board”</w:t>
      </w:r>
      <w:r>
        <w:rPr>
          <w:spacing w:val="-38"/>
          <w:sz w:val="24"/>
        </w:rPr>
        <w:t> </w:t>
      </w:r>
      <w:r>
        <w:rPr>
          <w:sz w:val="24"/>
        </w:rPr>
        <w:t>services</w:t>
      </w:r>
    </w:p>
    <w:p>
      <w:pPr>
        <w:pStyle w:val="ListParagraph"/>
        <w:numPr>
          <w:ilvl w:val="4"/>
          <w:numId w:val="4"/>
        </w:numPr>
        <w:tabs>
          <w:tab w:pos="941" w:val="left" w:leader="none"/>
        </w:tabs>
        <w:spacing w:line="240" w:lineRule="auto" w:before="0" w:after="0"/>
        <w:ind w:left="940" w:right="118" w:hanging="360"/>
        <w:jc w:val="both"/>
        <w:rPr>
          <w:sz w:val="24"/>
        </w:rPr>
      </w:pPr>
      <w:r>
        <w:rPr>
          <w:sz w:val="24"/>
        </w:rPr>
        <w:t>Consulting contracts to a related party, and a host of other dealings with parties related to the owners of the charter. Usually done via a Memorandum of Understanding</w:t>
      </w:r>
      <w:r>
        <w:rPr>
          <w:spacing w:val="-16"/>
          <w:sz w:val="24"/>
        </w:rPr>
        <w:t> </w:t>
      </w:r>
      <w:r>
        <w:rPr>
          <w:sz w:val="24"/>
        </w:rPr>
        <w:t>(MOU).</w:t>
      </w:r>
    </w:p>
    <w:p>
      <w:pPr>
        <w:pStyle w:val="BodyText"/>
        <w:spacing w:before="8"/>
        <w:rPr>
          <w:sz w:val="21"/>
        </w:rPr>
      </w:pPr>
    </w:p>
    <w:p>
      <w:pPr>
        <w:pStyle w:val="BodyText"/>
        <w:ind w:left="220" w:right="113"/>
        <w:jc w:val="both"/>
      </w:pPr>
      <w:r>
        <w:rPr/>
        <w:t>The graphic (Figure 2) for the Macon Barry Ayres (Making Barriers) Charter group illustrates</w:t>
      </w:r>
      <w:r>
        <w:rPr>
          <w:spacing w:val="-8"/>
        </w:rPr>
        <w:t> </w:t>
      </w:r>
      <w:r>
        <w:rPr/>
        <w:t>the</w:t>
      </w:r>
      <w:r>
        <w:rPr>
          <w:spacing w:val="-7"/>
        </w:rPr>
        <w:t> </w:t>
      </w:r>
      <w:r>
        <w:rPr/>
        <w:t>organizational</w:t>
      </w:r>
      <w:r>
        <w:rPr>
          <w:spacing w:val="-5"/>
        </w:rPr>
        <w:t> </w:t>
      </w:r>
      <w:r>
        <w:rPr/>
        <w:t>structure</w:t>
      </w:r>
      <w:r>
        <w:rPr>
          <w:spacing w:val="-8"/>
        </w:rPr>
        <w:t> </w:t>
      </w:r>
      <w:r>
        <w:rPr/>
        <w:t>in</w:t>
      </w:r>
      <w:r>
        <w:rPr>
          <w:spacing w:val="-7"/>
        </w:rPr>
        <w:t> </w:t>
      </w:r>
      <w:r>
        <w:rPr/>
        <w:t>which</w:t>
      </w:r>
      <w:r>
        <w:rPr>
          <w:spacing w:val="-7"/>
        </w:rPr>
        <w:t> </w:t>
      </w:r>
      <w:r>
        <w:rPr/>
        <w:t>related-parties</w:t>
      </w:r>
      <w:r>
        <w:rPr>
          <w:spacing w:val="-8"/>
        </w:rPr>
        <w:t> </w:t>
      </w:r>
      <w:r>
        <w:rPr/>
        <w:t>can</w:t>
      </w:r>
      <w:r>
        <w:rPr>
          <w:spacing w:val="-7"/>
        </w:rPr>
        <w:t> </w:t>
      </w:r>
      <w:r>
        <w:rPr/>
        <w:t>control</w:t>
      </w:r>
      <w:r>
        <w:rPr>
          <w:spacing w:val="-8"/>
        </w:rPr>
        <w:t> </w:t>
      </w:r>
      <w:r>
        <w:rPr/>
        <w:t>all</w:t>
      </w:r>
      <w:r>
        <w:rPr>
          <w:spacing w:val="-8"/>
        </w:rPr>
        <w:t> </w:t>
      </w:r>
      <w:r>
        <w:rPr/>
        <w:t>aspects</w:t>
      </w:r>
      <w:r>
        <w:rPr>
          <w:spacing w:val="-9"/>
        </w:rPr>
        <w:t> </w:t>
      </w:r>
      <w:r>
        <w:rPr/>
        <w:t>of</w:t>
      </w:r>
      <w:r>
        <w:rPr>
          <w:spacing w:val="-8"/>
        </w:rPr>
        <w:t> </w:t>
      </w:r>
      <w:r>
        <w:rPr/>
        <w:t>a charter school operation with the for profit entities being free from any transparency except to the degree transactions are detailed in the nonprofit charter school’s audit. Aspects of this structure will be apparent in the illustrations of actual charter holders in this</w:t>
      </w:r>
      <w:r>
        <w:rPr>
          <w:spacing w:val="-7"/>
        </w:rPr>
        <w:t> </w:t>
      </w:r>
      <w:r>
        <w:rPr/>
        <w:t>section.</w:t>
      </w:r>
    </w:p>
    <w:p>
      <w:pPr>
        <w:pStyle w:val="BodyText"/>
        <w:spacing w:before="4"/>
      </w:pPr>
    </w:p>
    <w:p>
      <w:pPr>
        <w:pStyle w:val="BodyText"/>
        <w:spacing w:line="276" w:lineRule="auto"/>
        <w:ind w:left="220" w:right="108"/>
        <w:jc w:val="both"/>
      </w:pPr>
      <w:r>
        <w:rPr/>
        <w:t>This data search only pulled IDENTIFIED related-party transactions (those noted in the audit.) There was ample evidence that not all of the related-party transactions were recorded in the audit. The auditors can only see what the company allows them to see. Masking of the real recipients was often done by transactions with company names versus the actual individual. Example: Earl Smith being paid by a payment to ES Consulting group in Utah. Differences between IRS 990 reporting of related-party transactions and audit reports from the same year were found in the data.</w:t>
      </w:r>
    </w:p>
    <w:p>
      <w:pPr>
        <w:pStyle w:val="BodyText"/>
        <w:spacing w:before="197"/>
        <w:ind w:left="220"/>
        <w:jc w:val="both"/>
      </w:pPr>
      <w:r>
        <w:rPr/>
        <w:t>In fiscal 2013-14 the related-party contracts, leases, and rents were:</w:t>
      </w:r>
    </w:p>
    <w:p>
      <w:pPr>
        <w:pStyle w:val="BodyText"/>
        <w:spacing w:before="7"/>
        <w:rPr>
          <w:sz w:val="21"/>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2"/>
      </w:tblGrid>
      <w:tr>
        <w:trPr>
          <w:trHeight w:val="500" w:hRule="atLeast"/>
        </w:trPr>
        <w:tc>
          <w:tcPr>
            <w:tcW w:w="9372" w:type="dxa"/>
            <w:tcBorders>
              <w:top w:val="single" w:sz="12" w:space="0" w:color="5B9BD4"/>
            </w:tcBorders>
            <w:shd w:val="clear" w:color="auto" w:fill="000000"/>
          </w:tcPr>
          <w:p>
            <w:pPr>
              <w:pStyle w:val="TableParagraph"/>
              <w:spacing w:line="245" w:lineRule="exact"/>
              <w:ind w:left="2978" w:right="2977"/>
              <w:rPr>
                <w:b/>
                <w:sz w:val="22"/>
              </w:rPr>
            </w:pPr>
            <w:r>
              <w:rPr>
                <w:b/>
                <w:color w:val="FFFFFF"/>
                <w:sz w:val="22"/>
              </w:rPr>
              <w:t>2013-14 Related-Party Contracts</w:t>
            </w:r>
          </w:p>
        </w:tc>
      </w:tr>
      <w:tr>
        <w:trPr>
          <w:trHeight w:val="460" w:hRule="atLeast"/>
        </w:trPr>
        <w:tc>
          <w:tcPr>
            <w:tcW w:w="9372" w:type="dxa"/>
            <w:tcBorders>
              <w:bottom w:val="single" w:sz="12" w:space="0" w:color="5B9BD4"/>
            </w:tcBorders>
            <w:shd w:val="clear" w:color="auto" w:fill="FFFF00"/>
          </w:tcPr>
          <w:p>
            <w:pPr>
              <w:pStyle w:val="TableParagraph"/>
              <w:spacing w:line="246" w:lineRule="exact"/>
              <w:ind w:left="2977" w:right="2977"/>
              <w:rPr>
                <w:b/>
                <w:sz w:val="22"/>
              </w:rPr>
            </w:pPr>
            <w:r>
              <w:rPr>
                <w:b/>
                <w:sz w:val="22"/>
              </w:rPr>
              <w:t>$377,769,233</w:t>
            </w:r>
          </w:p>
        </w:tc>
      </w:tr>
      <w:tr>
        <w:trPr>
          <w:trHeight w:val="460" w:hRule="atLeast"/>
        </w:trPr>
        <w:tc>
          <w:tcPr>
            <w:tcW w:w="9372" w:type="dxa"/>
            <w:tcBorders>
              <w:top w:val="single" w:sz="12" w:space="0" w:color="5B9BD4"/>
              <w:bottom w:val="single" w:sz="12" w:space="0" w:color="5B9BD4"/>
            </w:tcBorders>
            <w:shd w:val="clear" w:color="auto" w:fill="000000"/>
          </w:tcPr>
          <w:p>
            <w:pPr>
              <w:pStyle w:val="TableParagraph"/>
              <w:spacing w:line="245" w:lineRule="exact"/>
              <w:ind w:left="2978" w:right="2976"/>
              <w:rPr>
                <w:b/>
                <w:sz w:val="22"/>
              </w:rPr>
            </w:pPr>
            <w:r>
              <w:rPr>
                <w:b/>
                <w:color w:val="FFFFFF"/>
                <w:sz w:val="22"/>
              </w:rPr>
              <w:t>Related-Party Leases – Rents</w:t>
            </w:r>
          </w:p>
        </w:tc>
      </w:tr>
      <w:tr>
        <w:trPr>
          <w:trHeight w:val="500" w:hRule="atLeast"/>
        </w:trPr>
        <w:tc>
          <w:tcPr>
            <w:tcW w:w="9372" w:type="dxa"/>
            <w:tcBorders>
              <w:top w:val="single" w:sz="12" w:space="0" w:color="5B9BD4"/>
            </w:tcBorders>
            <w:shd w:val="clear" w:color="auto" w:fill="FFFF00"/>
          </w:tcPr>
          <w:p>
            <w:pPr>
              <w:pStyle w:val="TableParagraph"/>
              <w:spacing w:line="248" w:lineRule="exact"/>
              <w:ind w:left="2977" w:right="2977"/>
              <w:rPr>
                <w:b/>
                <w:sz w:val="22"/>
              </w:rPr>
            </w:pPr>
            <w:r>
              <w:rPr>
                <w:b/>
                <w:sz w:val="22"/>
              </w:rPr>
              <w:t>$478,717,233</w:t>
            </w:r>
          </w:p>
        </w:tc>
      </w:tr>
    </w:tbl>
    <w:p>
      <w:pPr>
        <w:spacing w:after="0" w:line="248" w:lineRule="exact"/>
        <w:rPr>
          <w:sz w:val="22"/>
        </w:rPr>
        <w:sectPr>
          <w:pgSz w:w="12240" w:h="15840"/>
          <w:pgMar w:header="740" w:footer="1002" w:top="940" w:bottom="1200" w:left="1220" w:right="1320"/>
        </w:sectPr>
      </w:pPr>
    </w:p>
    <w:p>
      <w:pPr>
        <w:pStyle w:val="BodyText"/>
        <w:rPr>
          <w:sz w:val="20"/>
        </w:rPr>
      </w:pPr>
    </w:p>
    <w:p>
      <w:pPr>
        <w:pStyle w:val="BodyText"/>
        <w:spacing w:before="2"/>
        <w:rPr>
          <w:sz w:val="22"/>
        </w:rPr>
      </w:pPr>
    </w:p>
    <w:tbl>
      <w:tblPr>
        <w:tblW w:w="0" w:type="auto"/>
        <w:jc w:val="left"/>
        <w:tblInd w:w="13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350"/>
      </w:tblGrid>
      <w:tr>
        <w:trPr>
          <w:trHeight w:val="460" w:hRule="atLeast"/>
        </w:trPr>
        <w:tc>
          <w:tcPr>
            <w:tcW w:w="9350" w:type="dxa"/>
            <w:tcBorders>
              <w:left w:val="nil"/>
              <w:right w:val="nil"/>
            </w:tcBorders>
            <w:shd w:val="clear" w:color="auto" w:fill="000000"/>
          </w:tcPr>
          <w:p>
            <w:pPr>
              <w:pStyle w:val="TableParagraph"/>
              <w:spacing w:line="245" w:lineRule="exact"/>
              <w:ind w:left="2321" w:right="2317"/>
              <w:rPr>
                <w:b/>
                <w:sz w:val="22"/>
              </w:rPr>
            </w:pPr>
            <w:r>
              <w:rPr>
                <w:b/>
                <w:color w:val="FFFFFF"/>
                <w:sz w:val="22"/>
              </w:rPr>
              <w:t>Total of Related-Party Commitments 2013-14</w:t>
            </w:r>
          </w:p>
        </w:tc>
      </w:tr>
      <w:tr>
        <w:trPr>
          <w:trHeight w:val="480" w:hRule="atLeast"/>
        </w:trPr>
        <w:tc>
          <w:tcPr>
            <w:tcW w:w="9350" w:type="dxa"/>
            <w:tcBorders>
              <w:left w:val="single" w:sz="8" w:space="0" w:color="000000"/>
              <w:bottom w:val="single" w:sz="8" w:space="0" w:color="000000"/>
              <w:right w:val="single" w:sz="8" w:space="0" w:color="000000"/>
            </w:tcBorders>
            <w:shd w:val="clear" w:color="auto" w:fill="FFFF00"/>
          </w:tcPr>
          <w:p>
            <w:pPr>
              <w:pStyle w:val="TableParagraph"/>
              <w:spacing w:line="250" w:lineRule="exact"/>
              <w:ind w:left="3973" w:right="3971"/>
              <w:rPr>
                <w:b/>
                <w:sz w:val="22"/>
              </w:rPr>
            </w:pPr>
            <w:r>
              <w:rPr>
                <w:b/>
                <w:sz w:val="22"/>
              </w:rPr>
              <w:t>$856,486,793</w:t>
            </w:r>
          </w:p>
        </w:tc>
      </w:tr>
    </w:tbl>
    <w:p>
      <w:pPr>
        <w:pStyle w:val="BodyText"/>
        <w:rPr>
          <w:sz w:val="20"/>
        </w:rPr>
      </w:pPr>
    </w:p>
    <w:p>
      <w:pPr>
        <w:spacing w:line="490" w:lineRule="atLeast" w:before="20"/>
        <w:ind w:left="260" w:right="1180" w:firstLine="0"/>
        <w:jc w:val="left"/>
        <w:rPr>
          <w:sz w:val="22"/>
        </w:rPr>
      </w:pPr>
      <w:r>
        <w:rPr>
          <w:sz w:val="22"/>
        </w:rPr>
        <w:t>Leases are reported at the value that the commitment</w:t>
      </w:r>
      <w:hyperlink w:history="true" w:anchor="_bookmark31">
        <w:r>
          <w:rPr>
            <w:position w:val="8"/>
            <w:sz w:val="14"/>
          </w:rPr>
          <w:t>11 </w:t>
        </w:r>
      </w:hyperlink>
      <w:r>
        <w:rPr>
          <w:sz w:val="22"/>
        </w:rPr>
        <w:t>to pay the lease is for. (Example: A four-year guaranteed lease at $50,000 a year is recorded as a $200,000</w:t>
      </w:r>
    </w:p>
    <w:p>
      <w:pPr>
        <w:spacing w:line="276" w:lineRule="auto" w:before="37"/>
        <w:ind w:left="260" w:right="0" w:firstLine="0"/>
        <w:jc w:val="left"/>
        <w:rPr>
          <w:sz w:val="22"/>
        </w:rPr>
      </w:pPr>
      <w:r>
        <w:rPr>
          <w:sz w:val="22"/>
        </w:rPr>
        <w:t>Commitment.) This practice in Accounting captures the full cost of the commitment (i.e. it is money that </w:t>
      </w:r>
      <w:r>
        <w:rPr>
          <w:sz w:val="22"/>
          <w:u w:val="single"/>
        </w:rPr>
        <w:t>has to be paid</w:t>
      </w:r>
      <w:r>
        <w:rPr>
          <w:sz w:val="22"/>
        </w:rPr>
        <w:t>.)</w:t>
      </w:r>
    </w:p>
    <w:p>
      <w:pPr>
        <w:spacing w:before="202"/>
        <w:ind w:left="260" w:right="0" w:firstLine="0"/>
        <w:jc w:val="left"/>
        <w:rPr>
          <w:sz w:val="22"/>
        </w:rPr>
      </w:pPr>
      <w:r>
        <w:rPr>
          <w:sz w:val="22"/>
        </w:rPr>
        <w:t>The entire outgoing debt obligation for charters in FY 13-14 was:</w:t>
      </w:r>
    </w:p>
    <w:p>
      <w:pPr>
        <w:pStyle w:val="BodyText"/>
        <w:spacing w:before="10" w:after="1"/>
        <w:rPr>
          <w:sz w:val="20"/>
        </w:rPr>
      </w:pPr>
    </w:p>
    <w:tbl>
      <w:tblPr>
        <w:tblW w:w="0" w:type="auto"/>
        <w:jc w:val="left"/>
        <w:tblInd w:w="13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362"/>
      </w:tblGrid>
      <w:tr>
        <w:trPr>
          <w:trHeight w:val="400" w:hRule="atLeast"/>
        </w:trPr>
        <w:tc>
          <w:tcPr>
            <w:tcW w:w="9362" w:type="dxa"/>
            <w:tcBorders>
              <w:left w:val="nil"/>
              <w:right w:val="nil"/>
            </w:tcBorders>
            <w:shd w:val="clear" w:color="auto" w:fill="000000"/>
          </w:tcPr>
          <w:p>
            <w:pPr>
              <w:pStyle w:val="TableParagraph"/>
              <w:spacing w:line="201" w:lineRule="exact"/>
              <w:ind w:left="2119" w:right="2121"/>
              <w:rPr>
                <w:b/>
                <w:sz w:val="18"/>
              </w:rPr>
            </w:pPr>
            <w:r>
              <w:rPr>
                <w:b/>
                <w:color w:val="FFFFFF"/>
                <w:sz w:val="18"/>
              </w:rPr>
              <w:t>Total Outstanding (Required Present and Future Payments)</w:t>
            </w:r>
          </w:p>
        </w:tc>
      </w:tr>
      <w:tr>
        <w:trPr>
          <w:trHeight w:val="480" w:hRule="atLeast"/>
        </w:trPr>
        <w:tc>
          <w:tcPr>
            <w:tcW w:w="9362" w:type="dxa"/>
            <w:tcBorders>
              <w:left w:val="single" w:sz="8" w:space="0" w:color="000000"/>
              <w:bottom w:val="single" w:sz="8" w:space="0" w:color="000000"/>
              <w:right w:val="single" w:sz="8" w:space="0" w:color="000000"/>
            </w:tcBorders>
            <w:shd w:val="clear" w:color="auto" w:fill="FFCCCC"/>
          </w:tcPr>
          <w:p>
            <w:pPr>
              <w:pStyle w:val="TableParagraph"/>
              <w:spacing w:line="250" w:lineRule="exact"/>
              <w:ind w:left="3886" w:right="3886"/>
              <w:rPr>
                <w:b/>
                <w:sz w:val="22"/>
              </w:rPr>
            </w:pPr>
            <w:r>
              <w:rPr>
                <w:b/>
                <w:sz w:val="22"/>
              </w:rPr>
              <w:t>$2,395,858,611</w:t>
            </w:r>
          </w:p>
        </w:tc>
      </w:tr>
    </w:tbl>
    <w:p>
      <w:pPr>
        <w:pStyle w:val="BodyText"/>
        <w:spacing w:before="9"/>
        <w:rPr>
          <w:sz w:val="27"/>
        </w:rPr>
      </w:pPr>
      <w:r>
        <w:rPr/>
        <w:pict>
          <v:line style="position:absolute;mso-position-horizontal-relative:page;mso-position-vertical-relative:paragraph;z-index:1456;mso-wrap-distance-left:0;mso-wrap-distance-right:0" from="113.75pt,18.210005pt" to="498.25pt,18.210005pt" stroked="true" strokeweight=".48pt" strokecolor="#5b9bd4">
            <v:stroke dashstyle="solid"/>
            <w10:wrap type="topAndBottom"/>
          </v:line>
        </w:pict>
      </w:r>
    </w:p>
    <w:p>
      <w:pPr>
        <w:spacing w:line="259" w:lineRule="auto" w:before="156"/>
        <w:ind w:left="1179" w:right="1040" w:firstLine="0"/>
        <w:jc w:val="center"/>
        <w:rPr>
          <w:b/>
          <w:i/>
          <w:sz w:val="22"/>
        </w:rPr>
      </w:pPr>
      <w:r>
        <w:rPr>
          <w:b/>
          <w:i/>
          <w:sz w:val="22"/>
        </w:rPr>
        <w:t>At a price tag of $856,486,793, fully 36% of all the outstanding payments </w:t>
      </w:r>
      <w:r>
        <w:rPr>
          <w:b/>
          <w:i/>
          <w:sz w:val="22"/>
        </w:rPr>
        <w:t>for debt, leases, loans, and substantial related-party service payments are going to RELATED PARTIES. This does not include related-party salaries and benefits paid as administrators or teachers!</w:t>
      </w:r>
    </w:p>
    <w:p>
      <w:pPr>
        <w:pStyle w:val="BodyText"/>
        <w:spacing w:before="4"/>
        <w:rPr>
          <w:b/>
          <w:i/>
          <w:sz w:val="14"/>
        </w:rPr>
      </w:pPr>
      <w:r>
        <w:rPr/>
        <w:pict>
          <v:line style="position:absolute;mso-position-horizontal-relative:page;mso-position-vertical-relative:paragraph;z-index:1480;mso-wrap-distance-left:0;mso-wrap-distance-right:0" from="113.75pt,10.453709pt" to="498.25pt,10.453709pt" stroked="true" strokeweight=".48pt" strokecolor="#5b9bd4">
            <v:stroke dashstyle="solid"/>
            <w10:wrap type="topAndBottom"/>
          </v:line>
        </w:pict>
      </w:r>
    </w:p>
    <w:p>
      <w:pPr>
        <w:pStyle w:val="BodyText"/>
        <w:spacing w:before="8"/>
        <w:rPr>
          <w:b/>
          <w:i/>
          <w:sz w:val="26"/>
        </w:rPr>
      </w:pPr>
    </w:p>
    <w:p>
      <w:pPr>
        <w:pStyle w:val="Heading2"/>
        <w:ind w:left="260"/>
      </w:pPr>
      <w:bookmarkStart w:name="_bookmark30" w:id="31"/>
      <w:bookmarkEnd w:id="31"/>
      <w:r>
        <w:rPr>
          <w:b w:val="0"/>
        </w:rPr>
      </w:r>
      <w:r>
        <w:rPr>
          <w:color w:val="4F81BC"/>
        </w:rPr>
        <w:t>Non-Competitive Related-Party Transactions Add up</w:t>
      </w:r>
    </w:p>
    <w:p>
      <w:pPr>
        <w:pStyle w:val="BodyText"/>
        <w:spacing w:line="448" w:lineRule="auto" w:before="40"/>
        <w:ind w:left="260" w:right="574"/>
      </w:pPr>
      <w:r>
        <w:rPr/>
        <w:t>Related-party transactions without any oversight have developed into an epidemic. A full </w:t>
      </w:r>
      <w:r>
        <w:rPr>
          <w:b/>
        </w:rPr>
        <w:t>36% </w:t>
      </w:r>
      <w:r>
        <w:rPr/>
        <w:t>of expenditures at charters are for contracts awarded to related parties.</w:t>
      </w:r>
    </w:p>
    <w:p>
      <w:pPr>
        <w:pStyle w:val="BodyText"/>
        <w:spacing w:before="16"/>
        <w:ind w:left="260"/>
      </w:pPr>
      <w:r>
        <w:rPr/>
        <w:t>When related-party leases and rents for one year are included the amount increases to</w:t>
      </w:r>
    </w:p>
    <w:p>
      <w:pPr>
        <w:pStyle w:val="Heading2"/>
        <w:spacing w:before="38"/>
        <w:ind w:left="258"/>
      </w:pPr>
      <w:r>
        <w:rPr/>
        <w:t>48%.</w:t>
      </w:r>
    </w:p>
    <w:p>
      <w:pPr>
        <w:pStyle w:val="BodyText"/>
        <w:spacing w:before="1"/>
        <w:rPr>
          <w:b/>
          <w:sz w:val="21"/>
        </w:rPr>
      </w:pPr>
    </w:p>
    <w:p>
      <w:pPr>
        <w:pStyle w:val="BodyText"/>
        <w:ind w:left="258"/>
      </w:pPr>
      <w:r>
        <w:rPr/>
        <w:pict>
          <v:group style="position:absolute;margin-left:66.120003pt;margin-top:16.050894pt;width:473.55pt;height:1.45pt;mso-position-horizontal-relative:page;mso-position-vertical-relative:paragraph;z-index:1504;mso-wrap-distance-left:0;mso-wrap-distance-right:0" coordorigin="1322,321" coordsize="9471,29">
            <v:rect style="position:absolute;left:1322;top:321;width:9446;height:29" filled="true" fillcolor="#5b9bd4" stroked="false">
              <v:fill type="solid"/>
            </v:rect>
            <v:line style="position:absolute" from="10768,336" to="10778,336" stroked="true" strokeweight="1.4399pt" strokecolor="#5b9bd4">
              <v:stroke dashstyle="solid"/>
            </v:line>
            <w10:wrap type="topAndBottom"/>
          </v:group>
        </w:pict>
      </w:r>
      <w:r>
        <w:rPr>
          <w:color w:val="365F91"/>
        </w:rPr>
        <w:t>Total Charter Expenditures from AFRs for 2013-14</w:t>
      </w:r>
    </w:p>
    <w:p>
      <w:pPr>
        <w:pStyle w:val="BodyText"/>
        <w:rPr>
          <w:sz w:val="20"/>
        </w:rPr>
      </w:pPr>
    </w:p>
    <w:p>
      <w:pPr>
        <w:pStyle w:val="BodyText"/>
        <w:spacing w:before="1"/>
        <w:rPr>
          <w:sz w:val="14"/>
        </w:rPr>
      </w:pPr>
      <w:r>
        <w:rPr/>
        <w:pict>
          <v:group style="position:absolute;margin-left:64.915001pt;margin-top:10.080927pt;width:475.45pt;height:27.05pt;mso-position-horizontal-relative:page;mso-position-vertical-relative:paragraph;z-index:1552;mso-wrap-distance-left:0;mso-wrap-distance-right:0" coordorigin="1298,202" coordsize="9509,541">
            <v:line style="position:absolute" from="1313,216" to="1332,216" stroked="true" strokeweight="1.44pt" strokecolor="#5b9bd4">
              <v:stroke dashstyle="solid"/>
            </v:line>
            <v:line style="position:absolute" from="1332,216" to="1361,216" stroked="true" strokeweight="1.44pt" strokecolor="#5b9bd4">
              <v:stroke dashstyle="solid"/>
            </v:line>
            <v:line style="position:absolute" from="1361,216" to="10764,216" stroked="true" strokeweight="1.44pt" strokecolor="#5b9bd4">
              <v:stroke dashstyle="solid"/>
            </v:line>
            <v:line style="position:absolute" from="10764,216" to="10792,216" stroked="true" strokeweight="1.44pt" strokecolor="#5b9bd4">
              <v:stroke dashstyle="solid"/>
            </v:line>
            <v:line style="position:absolute" from="1322,231" to="1322,732" stroked="true" strokeweight=".96pt" strokecolor="#000000">
              <v:stroke dashstyle="solid"/>
            </v:line>
            <v:line style="position:absolute" from="1332,723" to="10764,723" stroked="true" strokeweight=".96002pt" strokecolor="#000000">
              <v:stroke dashstyle="solid"/>
            </v:line>
            <v:line style="position:absolute" from="10773,231" to="10773,732" stroked="true" strokeweight=".95996pt" strokecolor="#000000">
              <v:stroke dashstyle="solid"/>
            </v:line>
            <v:shape style="position:absolute;left:1332;top:230;width:9432;height:483" type="#_x0000_t202" filled="false" stroked="false">
              <v:textbox inset="0,0,0,0">
                <w:txbxContent>
                  <w:p>
                    <w:pPr>
                      <w:spacing w:line="248" w:lineRule="exact" w:before="0"/>
                      <w:ind w:left="3932" w:right="3930" w:firstLine="0"/>
                      <w:jc w:val="center"/>
                      <w:rPr>
                        <w:b/>
                        <w:sz w:val="22"/>
                      </w:rPr>
                    </w:pPr>
                    <w:r>
                      <w:rPr>
                        <w:b/>
                        <w:sz w:val="22"/>
                      </w:rPr>
                      <w:t>$1,040,107,761</w:t>
                    </w:r>
                  </w:p>
                </w:txbxContent>
              </v:textbox>
              <w10:wrap type="none"/>
            </v:shape>
            <w10:wrap type="topAndBottom"/>
          </v:group>
        </w:pict>
      </w:r>
    </w:p>
    <w:p>
      <w:pPr>
        <w:pStyle w:val="BodyText"/>
        <w:spacing w:line="271" w:lineRule="exact" w:after="49"/>
        <w:ind w:left="260"/>
      </w:pPr>
      <w:r>
        <w:rPr>
          <w:color w:val="365F91"/>
        </w:rPr>
        <w:t>Total Contractual Expenses owed to Related Parties, excluding Leases, Rents, etc.</w:t>
      </w:r>
    </w:p>
    <w:tbl>
      <w:tblPr>
        <w:tblW w:w="0" w:type="auto"/>
        <w:jc w:val="left"/>
        <w:tblInd w:w="13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439"/>
      </w:tblGrid>
      <w:tr>
        <w:trPr>
          <w:trHeight w:val="480" w:hRule="atLeast"/>
        </w:trPr>
        <w:tc>
          <w:tcPr>
            <w:tcW w:w="9439" w:type="dxa"/>
            <w:tcBorders>
              <w:left w:val="nil"/>
              <w:right w:val="nil"/>
            </w:tcBorders>
            <w:shd w:val="clear" w:color="auto" w:fill="000000"/>
          </w:tcPr>
          <w:p>
            <w:pPr>
              <w:pStyle w:val="TableParagraph"/>
              <w:spacing w:line="246" w:lineRule="exact"/>
              <w:ind w:left="1030" w:right="1029"/>
              <w:rPr>
                <w:b/>
                <w:sz w:val="22"/>
              </w:rPr>
            </w:pPr>
            <w:r>
              <w:rPr>
                <w:b/>
                <w:color w:val="FFFFFF"/>
                <w:sz w:val="22"/>
              </w:rPr>
              <w:t>2013-14 Related-Party Contracts</w:t>
            </w:r>
          </w:p>
        </w:tc>
      </w:tr>
      <w:tr>
        <w:trPr>
          <w:trHeight w:val="480" w:hRule="atLeast"/>
        </w:trPr>
        <w:tc>
          <w:tcPr>
            <w:tcW w:w="9439" w:type="dxa"/>
            <w:tcBorders>
              <w:left w:val="single" w:sz="8" w:space="0" w:color="000000"/>
              <w:bottom w:val="single" w:sz="8" w:space="0" w:color="000000"/>
              <w:right w:val="single" w:sz="8" w:space="0" w:color="000000"/>
            </w:tcBorders>
          </w:tcPr>
          <w:p>
            <w:pPr>
              <w:pStyle w:val="TableParagraph"/>
              <w:spacing w:line="248" w:lineRule="exact"/>
              <w:ind w:left="4019" w:right="4014"/>
              <w:rPr>
                <w:b/>
                <w:sz w:val="22"/>
              </w:rPr>
            </w:pPr>
            <w:r>
              <w:rPr>
                <w:b/>
                <w:sz w:val="22"/>
              </w:rPr>
              <w:t>$377,769,560</w:t>
            </w:r>
          </w:p>
        </w:tc>
      </w:tr>
    </w:tbl>
    <w:p>
      <w:pPr>
        <w:pStyle w:val="BodyText"/>
        <w:rPr>
          <w:sz w:val="20"/>
        </w:rPr>
      </w:pPr>
    </w:p>
    <w:p>
      <w:pPr>
        <w:pStyle w:val="BodyText"/>
        <w:spacing w:before="9"/>
        <w:rPr>
          <w:sz w:val="23"/>
        </w:rPr>
      </w:pPr>
      <w:r>
        <w:rPr/>
        <w:pict>
          <v:line style="position:absolute;mso-position-horizontal-relative:page;mso-position-vertical-relative:paragraph;z-index:1576;mso-wrap-distance-left:0;mso-wrap-distance-right:0" from="72pt,16.030977pt" to="216pt,16.030977pt" stroked="true" strokeweight=".72pt" strokecolor="#000000">
            <v:stroke dashstyle="solid"/>
            <w10:wrap type="topAndBottom"/>
          </v:line>
        </w:pict>
      </w:r>
    </w:p>
    <w:p>
      <w:pPr>
        <w:spacing w:before="44"/>
        <w:ind w:left="260" w:right="0" w:firstLine="0"/>
        <w:jc w:val="left"/>
        <w:rPr>
          <w:rFonts w:ascii="Calibri"/>
          <w:sz w:val="20"/>
        </w:rPr>
      </w:pPr>
      <w:bookmarkStart w:name="_bookmark31" w:id="32"/>
      <w:bookmarkEnd w:id="32"/>
      <w:r>
        <w:rPr/>
      </w:r>
      <w:r>
        <w:rPr>
          <w:rFonts w:ascii="Calibri"/>
          <w:position w:val="7"/>
          <w:sz w:val="13"/>
        </w:rPr>
        <w:t>11 </w:t>
      </w:r>
      <w:r>
        <w:rPr>
          <w:rFonts w:ascii="Calibri"/>
          <w:sz w:val="20"/>
        </w:rPr>
        <w:t>In Accounting </w:t>
      </w:r>
      <w:r>
        <w:rPr>
          <w:rFonts w:ascii="Calibri"/>
          <w:b/>
          <w:sz w:val="20"/>
          <w:u w:val="single"/>
        </w:rPr>
        <w:t>a Commitment</w:t>
      </w:r>
      <w:r>
        <w:rPr>
          <w:rFonts w:ascii="Calibri"/>
          <w:b/>
          <w:sz w:val="20"/>
        </w:rPr>
        <w:t> </w:t>
      </w:r>
      <w:r>
        <w:rPr>
          <w:rFonts w:ascii="Calibri"/>
          <w:sz w:val="20"/>
        </w:rPr>
        <w:t>is recorded in the audit when the business has committed to future payments on loans, leases, etc. (Example: A five-year lease for $100,000 is a $500,000 commitment.)</w:t>
      </w:r>
    </w:p>
    <w:p>
      <w:pPr>
        <w:spacing w:after="0"/>
        <w:jc w:val="left"/>
        <w:rPr>
          <w:rFonts w:ascii="Calibri"/>
          <w:sz w:val="20"/>
        </w:rPr>
        <w:sectPr>
          <w:pgSz w:w="12240" w:h="15840"/>
          <w:pgMar w:header="740" w:footer="1002" w:top="940" w:bottom="1200" w:left="1180" w:right="1320"/>
        </w:sectPr>
      </w:pPr>
    </w:p>
    <w:p>
      <w:pPr>
        <w:pStyle w:val="BodyText"/>
        <w:rPr>
          <w:rFonts w:ascii="Calibri"/>
          <w:sz w:val="20"/>
        </w:rPr>
      </w:pPr>
    </w:p>
    <w:p>
      <w:pPr>
        <w:pStyle w:val="BodyText"/>
        <w:spacing w:before="4"/>
        <w:rPr>
          <w:rFonts w:ascii="Calibri"/>
          <w:sz w:val="20"/>
        </w:r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39"/>
      </w:tblGrid>
      <w:tr>
        <w:trPr>
          <w:trHeight w:val="500" w:hRule="atLeast"/>
        </w:trPr>
        <w:tc>
          <w:tcPr>
            <w:tcW w:w="9439" w:type="dxa"/>
            <w:shd w:val="clear" w:color="auto" w:fill="000000"/>
          </w:tcPr>
          <w:p>
            <w:pPr>
              <w:pStyle w:val="TableParagraph"/>
              <w:ind w:left="1030" w:right="1028"/>
              <w:rPr>
                <w:b/>
                <w:sz w:val="22"/>
              </w:rPr>
            </w:pPr>
            <w:r>
              <w:rPr>
                <w:b/>
                <w:color w:val="FFFFFF"/>
                <w:sz w:val="22"/>
              </w:rPr>
              <w:t>2013-14 Related-Party Contract as a% of Expenditures</w:t>
            </w:r>
          </w:p>
        </w:tc>
      </w:tr>
      <w:tr>
        <w:trPr>
          <w:trHeight w:val="460" w:hRule="atLeast"/>
        </w:trPr>
        <w:tc>
          <w:tcPr>
            <w:tcW w:w="9439" w:type="dxa"/>
            <w:tcBorders>
              <w:top w:val="single" w:sz="8" w:space="0" w:color="000000"/>
              <w:left w:val="single" w:sz="8" w:space="0" w:color="000000"/>
              <w:bottom w:val="single" w:sz="8" w:space="0" w:color="000000"/>
              <w:right w:val="single" w:sz="8" w:space="0" w:color="000000"/>
            </w:tcBorders>
            <w:shd w:val="clear" w:color="auto" w:fill="FFFF00"/>
          </w:tcPr>
          <w:p>
            <w:pPr>
              <w:pStyle w:val="TableParagraph"/>
              <w:spacing w:line="245" w:lineRule="exact"/>
              <w:ind w:left="4017" w:right="4014"/>
              <w:rPr>
                <w:b/>
                <w:sz w:val="22"/>
              </w:rPr>
            </w:pPr>
            <w:r>
              <w:rPr>
                <w:b/>
                <w:sz w:val="22"/>
              </w:rPr>
              <w:t>36%</w:t>
            </w:r>
          </w:p>
        </w:tc>
      </w:tr>
    </w:tbl>
    <w:p>
      <w:pPr>
        <w:pStyle w:val="BodyText"/>
        <w:rPr>
          <w:rFonts w:ascii="Calibri"/>
          <w:sz w:val="20"/>
        </w:rPr>
      </w:pPr>
    </w:p>
    <w:p>
      <w:pPr>
        <w:pStyle w:val="BodyText"/>
        <w:spacing w:before="11"/>
        <w:rPr>
          <w:rFonts w:ascii="Calibri"/>
          <w:sz w:val="19"/>
        </w:rPr>
      </w:pPr>
    </w:p>
    <w:p>
      <w:pPr>
        <w:pStyle w:val="BodyText"/>
        <w:ind w:left="240"/>
        <w:jc w:val="both"/>
      </w:pPr>
      <w:r>
        <w:rPr>
          <w:color w:val="365F91"/>
        </w:rPr>
        <w:t>The True Cost of Related-Party Transactions</w:t>
      </w:r>
    </w:p>
    <w:p>
      <w:pPr>
        <w:pStyle w:val="BodyText"/>
        <w:spacing w:before="42"/>
        <w:ind w:left="240" w:right="115"/>
        <w:jc w:val="both"/>
      </w:pPr>
      <w:r>
        <w:rPr/>
        <w:t>Even  without  the  substantive   leases,   rents,   etc. that are  accounted for  in   the figure</w:t>
      </w:r>
      <w:r>
        <w:rPr>
          <w:spacing w:val="12"/>
        </w:rPr>
        <w:t> </w:t>
      </w:r>
      <w:r>
        <w:rPr/>
        <w:t>of</w:t>
      </w:r>
      <w:r>
        <w:rPr>
          <w:spacing w:val="-16"/>
        </w:rPr>
        <w:t> </w:t>
      </w:r>
      <w:r>
        <w:rPr>
          <w:b/>
        </w:rPr>
        <w:t>$374,181,560,</w:t>
      </w:r>
      <w:r>
        <w:rPr>
          <w:b/>
          <w:spacing w:val="-15"/>
        </w:rPr>
        <w:t> </w:t>
      </w:r>
      <w:r>
        <w:rPr/>
        <w:t>contractual</w:t>
      </w:r>
      <w:r>
        <w:rPr>
          <w:spacing w:val="-20"/>
        </w:rPr>
        <w:t> </w:t>
      </w:r>
      <w:r>
        <w:rPr/>
        <w:t>expenses</w:t>
      </w:r>
      <w:r>
        <w:rPr>
          <w:spacing w:val="-17"/>
        </w:rPr>
        <w:t> </w:t>
      </w:r>
      <w:r>
        <w:rPr/>
        <w:t>to</w:t>
      </w:r>
      <w:r>
        <w:rPr>
          <w:spacing w:val="-16"/>
        </w:rPr>
        <w:t> </w:t>
      </w:r>
      <w:r>
        <w:rPr/>
        <w:t>related</w:t>
      </w:r>
      <w:r>
        <w:rPr>
          <w:spacing w:val="-17"/>
        </w:rPr>
        <w:t> </w:t>
      </w:r>
      <w:r>
        <w:rPr/>
        <w:t>parties</w:t>
      </w:r>
      <w:r>
        <w:rPr>
          <w:spacing w:val="-17"/>
        </w:rPr>
        <w:t> </w:t>
      </w:r>
      <w:r>
        <w:rPr/>
        <w:t>represent</w:t>
      </w:r>
      <w:r>
        <w:rPr>
          <w:spacing w:val="-19"/>
        </w:rPr>
        <w:t> </w:t>
      </w:r>
      <w:r>
        <w:rPr/>
        <w:t>36%</w:t>
      </w:r>
      <w:r>
        <w:rPr>
          <w:spacing w:val="-17"/>
        </w:rPr>
        <w:t> </w:t>
      </w:r>
      <w:r>
        <w:rPr/>
        <w:t>of</w:t>
      </w:r>
      <w:r>
        <w:rPr>
          <w:spacing w:val="-17"/>
        </w:rPr>
        <w:t> </w:t>
      </w:r>
      <w:r>
        <w:rPr/>
        <w:t>outgoing expenses for the year. This creates a financial drag on the organization as will be highlighted in the second policy report of this</w:t>
      </w:r>
      <w:r>
        <w:rPr>
          <w:spacing w:val="-23"/>
        </w:rPr>
        <w:t> </w:t>
      </w:r>
      <w:r>
        <w:rPr/>
        <w:t>series.</w:t>
      </w:r>
    </w:p>
    <w:p>
      <w:pPr>
        <w:pStyle w:val="BodyText"/>
        <w:spacing w:before="201" w:after="46"/>
        <w:ind w:left="238" w:firstLine="2"/>
        <w:jc w:val="both"/>
      </w:pPr>
      <w:r>
        <w:rPr>
          <w:color w:val="365F91"/>
        </w:rPr>
        <w:t>Adjusting for the Related-Party Leases – Rents to Related Parties exacerbate the Issue</w:t>
      </w:r>
    </w:p>
    <w:tbl>
      <w:tblPr>
        <w:tblW w:w="0" w:type="auto"/>
        <w:jc w:val="left"/>
        <w:tblInd w:w="11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439"/>
      </w:tblGrid>
      <w:tr>
        <w:trPr>
          <w:trHeight w:val="480" w:hRule="atLeast"/>
        </w:trPr>
        <w:tc>
          <w:tcPr>
            <w:tcW w:w="9439" w:type="dxa"/>
            <w:tcBorders>
              <w:left w:val="nil"/>
              <w:right w:val="nil"/>
            </w:tcBorders>
            <w:shd w:val="clear" w:color="auto" w:fill="000000"/>
          </w:tcPr>
          <w:p>
            <w:pPr>
              <w:pStyle w:val="TableParagraph"/>
              <w:spacing w:line="246" w:lineRule="exact"/>
              <w:ind w:left="1030" w:right="1030"/>
              <w:rPr>
                <w:b/>
                <w:sz w:val="22"/>
              </w:rPr>
            </w:pPr>
            <w:r>
              <w:rPr>
                <w:b/>
                <w:color w:val="FFFFFF"/>
                <w:sz w:val="22"/>
              </w:rPr>
              <w:t>Related-Party Leases – Rents (Commitments for Leases)</w:t>
            </w:r>
          </w:p>
        </w:tc>
      </w:tr>
      <w:tr>
        <w:trPr>
          <w:trHeight w:val="480" w:hRule="atLeast"/>
        </w:trPr>
        <w:tc>
          <w:tcPr>
            <w:tcW w:w="9439" w:type="dxa"/>
            <w:tcBorders>
              <w:left w:val="single" w:sz="8" w:space="0" w:color="000000"/>
              <w:bottom w:val="single" w:sz="8" w:space="0" w:color="000000"/>
              <w:right w:val="single" w:sz="8" w:space="0" w:color="000000"/>
            </w:tcBorders>
          </w:tcPr>
          <w:p>
            <w:pPr>
              <w:pStyle w:val="TableParagraph"/>
              <w:spacing w:line="248" w:lineRule="exact"/>
              <w:ind w:left="4019" w:right="4014"/>
              <w:rPr>
                <w:b/>
                <w:sz w:val="22"/>
              </w:rPr>
            </w:pPr>
            <w:r>
              <w:rPr>
                <w:b/>
                <w:sz w:val="22"/>
              </w:rPr>
              <w:t>$478,717,233</w:t>
            </w:r>
          </w:p>
        </w:tc>
      </w:tr>
    </w:tbl>
    <w:p>
      <w:pPr>
        <w:pStyle w:val="BodyText"/>
        <w:rPr>
          <w:sz w:val="26"/>
        </w:rPr>
      </w:pPr>
    </w:p>
    <w:p>
      <w:pPr>
        <w:pStyle w:val="BodyText"/>
        <w:spacing w:line="276" w:lineRule="auto" w:before="184"/>
        <w:ind w:left="238" w:right="231"/>
        <w:jc w:val="both"/>
      </w:pPr>
      <w:r>
        <w:rPr>
          <w:b/>
        </w:rPr>
        <w:t>Logic Behind the Numbers Used</w:t>
      </w:r>
      <w:r>
        <w:rPr/>
        <w:t>: A fair way to determine the leases and rents costs would be to divide the leases and rents listed on the audit as “Commitments”</w:t>
      </w:r>
      <w:hyperlink w:history="true" w:anchor="_bookmark32">
        <w:r>
          <w:rPr>
            <w:position w:val="8"/>
            <w:sz w:val="16"/>
          </w:rPr>
          <w:t>12 </w:t>
        </w:r>
      </w:hyperlink>
      <w:r>
        <w:rPr/>
        <w:t>by the number 4 as most of the leases and rents were taken out for 1, 3, or 5 years as a commitment (i.e. contractual period of the leases). Even though the leases are de facto, forever. I.e. how does one get out of a lease with oneself? This conservative approach would add another </w:t>
      </w:r>
      <w:r>
        <w:rPr>
          <w:b/>
        </w:rPr>
        <w:t>$119,679,308 </w:t>
      </w:r>
      <w:r>
        <w:rPr/>
        <w:t>to the outgoing funds (expenditures) for one year. Consequently, </w:t>
      </w:r>
      <w:r>
        <w:rPr>
          <w:b/>
        </w:rPr>
        <w:t>about half of all expenditures are with related parties</w:t>
      </w:r>
      <w:r>
        <w:rPr/>
        <w:t>—and this figure does not include any direct salaries paid to related parties. A common occurrence in family run charter groups.</w:t>
      </w:r>
    </w:p>
    <w:p>
      <w:pPr>
        <w:pStyle w:val="BodyText"/>
        <w:spacing w:before="11"/>
        <w:rPr>
          <w:sz w:val="17"/>
        </w:rPr>
      </w:pPr>
    </w:p>
    <w:tbl>
      <w:tblPr>
        <w:tblW w:w="0" w:type="auto"/>
        <w:jc w:val="left"/>
        <w:tblInd w:w="11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439"/>
      </w:tblGrid>
      <w:tr>
        <w:trPr>
          <w:trHeight w:val="460" w:hRule="atLeast"/>
        </w:trPr>
        <w:tc>
          <w:tcPr>
            <w:tcW w:w="9439" w:type="dxa"/>
            <w:tcBorders>
              <w:left w:val="nil"/>
              <w:right w:val="nil"/>
            </w:tcBorders>
            <w:shd w:val="clear" w:color="auto" w:fill="000000"/>
          </w:tcPr>
          <w:p>
            <w:pPr>
              <w:pStyle w:val="TableParagraph"/>
              <w:spacing w:line="245" w:lineRule="exact"/>
              <w:ind w:left="1030" w:right="1031"/>
              <w:rPr>
                <w:b/>
                <w:sz w:val="22"/>
              </w:rPr>
            </w:pPr>
            <w:r>
              <w:rPr>
                <w:b/>
                <w:color w:val="FFFFFF"/>
                <w:sz w:val="22"/>
              </w:rPr>
              <w:t>2013-14 Related-Party Contracts PLUS Leases and Rents for One Year</w:t>
            </w:r>
          </w:p>
        </w:tc>
      </w:tr>
      <w:tr>
        <w:trPr>
          <w:trHeight w:val="480" w:hRule="atLeast"/>
        </w:trPr>
        <w:tc>
          <w:tcPr>
            <w:tcW w:w="9439" w:type="dxa"/>
            <w:tcBorders>
              <w:left w:val="single" w:sz="8" w:space="0" w:color="000000"/>
              <w:bottom w:val="single" w:sz="8" w:space="0" w:color="000000"/>
              <w:right w:val="single" w:sz="8" w:space="0" w:color="000000"/>
            </w:tcBorders>
          </w:tcPr>
          <w:p>
            <w:pPr>
              <w:pStyle w:val="TableParagraph"/>
              <w:spacing w:line="248" w:lineRule="exact"/>
              <w:ind w:left="4019" w:right="4014"/>
              <w:rPr>
                <w:b/>
                <w:sz w:val="22"/>
              </w:rPr>
            </w:pPr>
            <w:r>
              <w:rPr>
                <w:b/>
                <w:sz w:val="22"/>
              </w:rPr>
              <w:t>$497,448,868</w:t>
            </w:r>
          </w:p>
        </w:tc>
      </w:tr>
      <w:tr>
        <w:trPr>
          <w:trHeight w:val="800" w:hRule="atLeast"/>
        </w:trPr>
        <w:tc>
          <w:tcPr>
            <w:tcW w:w="9439" w:type="dxa"/>
            <w:tcBorders>
              <w:top w:val="nil"/>
              <w:left w:val="nil"/>
              <w:bottom w:val="nil"/>
              <w:right w:val="nil"/>
            </w:tcBorders>
            <w:shd w:val="clear" w:color="auto" w:fill="000000"/>
          </w:tcPr>
          <w:p>
            <w:pPr>
              <w:pStyle w:val="TableParagraph"/>
              <w:spacing w:line="278" w:lineRule="auto" w:before="9"/>
              <w:ind w:left="4023" w:right="294" w:hanging="3714"/>
              <w:jc w:val="left"/>
              <w:rPr>
                <w:b/>
                <w:sz w:val="22"/>
              </w:rPr>
            </w:pPr>
            <w:r>
              <w:rPr>
                <w:b/>
                <w:color w:val="FFFFFF"/>
                <w:sz w:val="22"/>
              </w:rPr>
              <w:t>2013-14 Related-Party Contracts Plus Leases and Rents for One Year as a % of Total Expenditures</w:t>
            </w:r>
          </w:p>
        </w:tc>
      </w:tr>
      <w:tr>
        <w:trPr>
          <w:trHeight w:val="480" w:hRule="atLeast"/>
        </w:trPr>
        <w:tc>
          <w:tcPr>
            <w:tcW w:w="9439" w:type="dxa"/>
            <w:tcBorders>
              <w:top w:val="single" w:sz="8" w:space="0" w:color="000000"/>
              <w:left w:val="single" w:sz="8" w:space="0" w:color="000000"/>
              <w:bottom w:val="single" w:sz="8" w:space="0" w:color="000000"/>
              <w:right w:val="single" w:sz="8" w:space="0" w:color="000000"/>
            </w:tcBorders>
            <w:shd w:val="clear" w:color="auto" w:fill="FFFF00"/>
          </w:tcPr>
          <w:p>
            <w:pPr>
              <w:pStyle w:val="TableParagraph"/>
              <w:spacing w:line="247" w:lineRule="exact"/>
              <w:ind w:left="4017" w:right="4014"/>
              <w:rPr>
                <w:b/>
                <w:sz w:val="22"/>
              </w:rPr>
            </w:pPr>
            <w:r>
              <w:rPr>
                <w:b/>
                <w:sz w:val="22"/>
              </w:rPr>
              <w:t>48%</w:t>
            </w:r>
          </w:p>
        </w:tc>
      </w:tr>
    </w:tbl>
    <w:p>
      <w:pPr>
        <w:pStyle w:val="BodyText"/>
        <w:spacing w:before="8"/>
        <w:rPr>
          <w:sz w:val="19"/>
        </w:rPr>
      </w:pPr>
      <w:r>
        <w:rPr/>
        <w:pict>
          <v:line style="position:absolute;mso-position-horizontal-relative:page;mso-position-vertical-relative:paragraph;z-index:1600;mso-wrap-distance-left:0;mso-wrap-distance-right:0" from="72pt,13.69pt" to="216pt,13.69pt" stroked="true" strokeweight=".72pt" strokecolor="#000000">
            <v:stroke dashstyle="solid"/>
            <w10:wrap type="topAndBottom"/>
          </v:line>
        </w:pict>
      </w:r>
    </w:p>
    <w:p>
      <w:pPr>
        <w:spacing w:before="55"/>
        <w:ind w:left="238" w:right="234" w:firstLine="0"/>
        <w:jc w:val="both"/>
        <w:rPr>
          <w:rFonts w:ascii="Calibri" w:hAnsi="Calibri"/>
          <w:sz w:val="20"/>
        </w:rPr>
      </w:pPr>
      <w:bookmarkStart w:name="_bookmark32" w:id="33"/>
      <w:bookmarkEnd w:id="33"/>
      <w:r>
        <w:rPr/>
      </w:r>
      <w:r>
        <w:rPr>
          <w:rFonts w:ascii="Calibri" w:hAnsi="Calibri"/>
          <w:position w:val="7"/>
          <w:sz w:val="13"/>
        </w:rPr>
        <w:t>12 </w:t>
      </w:r>
      <w:r>
        <w:rPr>
          <w:rFonts w:ascii="Calibri" w:hAnsi="Calibri"/>
          <w:sz w:val="20"/>
        </w:rPr>
        <w:t>Commitments are items that MUST be paid in the future. A five year lease is an example. Built in increases in the lease are also included in the auditor’s statements. When the lease or rent is with a related party, i.e. the same owner</w:t>
      </w:r>
      <w:r>
        <w:rPr>
          <w:rFonts w:ascii="Calibri" w:hAnsi="Calibri"/>
          <w:spacing w:val="-10"/>
          <w:sz w:val="20"/>
        </w:rPr>
        <w:t> </w:t>
      </w:r>
      <w:r>
        <w:rPr>
          <w:rFonts w:ascii="Calibri" w:hAnsi="Calibri"/>
          <w:sz w:val="20"/>
        </w:rPr>
        <w:t>and</w:t>
      </w:r>
      <w:r>
        <w:rPr>
          <w:rFonts w:ascii="Calibri" w:hAnsi="Calibri"/>
          <w:spacing w:val="-10"/>
          <w:sz w:val="20"/>
        </w:rPr>
        <w:t> </w:t>
      </w:r>
      <w:r>
        <w:rPr>
          <w:rFonts w:ascii="Calibri" w:hAnsi="Calibri"/>
          <w:sz w:val="20"/>
        </w:rPr>
        <w:t>board,</w:t>
      </w:r>
      <w:r>
        <w:rPr>
          <w:rFonts w:ascii="Calibri" w:hAnsi="Calibri"/>
          <w:spacing w:val="-10"/>
          <w:sz w:val="20"/>
        </w:rPr>
        <w:t> </w:t>
      </w:r>
      <w:r>
        <w:rPr>
          <w:rFonts w:ascii="Calibri" w:hAnsi="Calibri"/>
          <w:sz w:val="20"/>
        </w:rPr>
        <w:t>there</w:t>
      </w:r>
      <w:r>
        <w:rPr>
          <w:rFonts w:ascii="Calibri" w:hAnsi="Calibri"/>
          <w:spacing w:val="-11"/>
          <w:sz w:val="20"/>
        </w:rPr>
        <w:t> </w:t>
      </w:r>
      <w:r>
        <w:rPr>
          <w:rFonts w:ascii="Calibri" w:hAnsi="Calibri"/>
          <w:sz w:val="20"/>
        </w:rPr>
        <w:t>is</w:t>
      </w:r>
      <w:r>
        <w:rPr>
          <w:rFonts w:ascii="Calibri" w:hAnsi="Calibri"/>
          <w:spacing w:val="-12"/>
          <w:sz w:val="20"/>
        </w:rPr>
        <w:t> </w:t>
      </w:r>
      <w:r>
        <w:rPr>
          <w:rFonts w:ascii="Calibri" w:hAnsi="Calibri"/>
          <w:sz w:val="20"/>
        </w:rPr>
        <w:t>NO</w:t>
      </w:r>
      <w:r>
        <w:rPr>
          <w:rFonts w:ascii="Calibri" w:hAnsi="Calibri"/>
          <w:spacing w:val="-10"/>
          <w:sz w:val="20"/>
        </w:rPr>
        <w:t> </w:t>
      </w:r>
      <w:r>
        <w:rPr>
          <w:rFonts w:ascii="Calibri" w:hAnsi="Calibri"/>
          <w:sz w:val="20"/>
        </w:rPr>
        <w:t>incentive</w:t>
      </w:r>
      <w:r>
        <w:rPr>
          <w:rFonts w:ascii="Calibri" w:hAnsi="Calibri"/>
          <w:spacing w:val="-11"/>
          <w:sz w:val="20"/>
        </w:rPr>
        <w:t> </w:t>
      </w:r>
      <w:r>
        <w:rPr>
          <w:rFonts w:ascii="Calibri" w:hAnsi="Calibri"/>
          <w:sz w:val="20"/>
        </w:rPr>
        <w:t>to</w:t>
      </w:r>
      <w:r>
        <w:rPr>
          <w:rFonts w:ascii="Calibri" w:hAnsi="Calibri"/>
          <w:spacing w:val="-10"/>
          <w:sz w:val="20"/>
        </w:rPr>
        <w:t> </w:t>
      </w:r>
      <w:r>
        <w:rPr>
          <w:rFonts w:ascii="Calibri" w:hAnsi="Calibri"/>
          <w:sz w:val="20"/>
        </w:rPr>
        <w:t>void</w:t>
      </w:r>
      <w:r>
        <w:rPr>
          <w:rFonts w:ascii="Calibri" w:hAnsi="Calibri"/>
          <w:spacing w:val="-10"/>
          <w:sz w:val="20"/>
        </w:rPr>
        <w:t> </w:t>
      </w:r>
      <w:r>
        <w:rPr>
          <w:rFonts w:ascii="Calibri" w:hAnsi="Calibri"/>
          <w:sz w:val="20"/>
        </w:rPr>
        <w:t>the</w:t>
      </w:r>
      <w:r>
        <w:rPr>
          <w:rFonts w:ascii="Calibri" w:hAnsi="Calibri"/>
          <w:spacing w:val="-11"/>
          <w:sz w:val="20"/>
        </w:rPr>
        <w:t> </w:t>
      </w:r>
      <w:r>
        <w:rPr>
          <w:rFonts w:ascii="Calibri" w:hAnsi="Calibri"/>
          <w:sz w:val="20"/>
        </w:rPr>
        <w:t>lease.</w:t>
      </w:r>
      <w:r>
        <w:rPr>
          <w:rFonts w:ascii="Calibri" w:hAnsi="Calibri"/>
          <w:spacing w:val="-10"/>
          <w:sz w:val="20"/>
        </w:rPr>
        <w:t> </w:t>
      </w:r>
      <w:r>
        <w:rPr>
          <w:rFonts w:ascii="Calibri" w:hAnsi="Calibri"/>
          <w:sz w:val="20"/>
        </w:rPr>
        <w:t>The</w:t>
      </w:r>
      <w:r>
        <w:rPr>
          <w:rFonts w:ascii="Calibri" w:hAnsi="Calibri"/>
          <w:spacing w:val="-10"/>
          <w:sz w:val="20"/>
        </w:rPr>
        <w:t> </w:t>
      </w:r>
      <w:r>
        <w:rPr>
          <w:rFonts w:ascii="Calibri" w:hAnsi="Calibri"/>
          <w:sz w:val="20"/>
        </w:rPr>
        <w:t>subsidiary</w:t>
      </w:r>
      <w:r>
        <w:rPr>
          <w:rFonts w:ascii="Calibri" w:hAnsi="Calibri"/>
          <w:spacing w:val="-10"/>
          <w:sz w:val="20"/>
        </w:rPr>
        <w:t> </w:t>
      </w:r>
      <w:r>
        <w:rPr>
          <w:rFonts w:ascii="Calibri" w:hAnsi="Calibri"/>
          <w:sz w:val="20"/>
        </w:rPr>
        <w:t>“for</w:t>
      </w:r>
      <w:r>
        <w:rPr>
          <w:rFonts w:ascii="Calibri" w:hAnsi="Calibri"/>
          <w:spacing w:val="-10"/>
          <w:sz w:val="20"/>
        </w:rPr>
        <w:t> </w:t>
      </w:r>
      <w:r>
        <w:rPr>
          <w:rFonts w:ascii="Calibri" w:hAnsi="Calibri"/>
          <w:sz w:val="20"/>
        </w:rPr>
        <w:t>profit”</w:t>
      </w:r>
      <w:r>
        <w:rPr>
          <w:rFonts w:ascii="Calibri" w:hAnsi="Calibri"/>
          <w:spacing w:val="-12"/>
          <w:sz w:val="20"/>
        </w:rPr>
        <w:t> </w:t>
      </w:r>
      <w:r>
        <w:rPr>
          <w:rFonts w:ascii="Calibri" w:hAnsi="Calibri"/>
          <w:sz w:val="20"/>
        </w:rPr>
        <w:t>company</w:t>
      </w:r>
      <w:r>
        <w:rPr>
          <w:rFonts w:ascii="Calibri" w:hAnsi="Calibri"/>
          <w:spacing w:val="-10"/>
          <w:sz w:val="20"/>
        </w:rPr>
        <w:t> </w:t>
      </w:r>
      <w:r>
        <w:rPr>
          <w:rFonts w:ascii="Calibri" w:hAnsi="Calibri"/>
          <w:sz w:val="20"/>
        </w:rPr>
        <w:t>that</w:t>
      </w:r>
      <w:r>
        <w:rPr>
          <w:rFonts w:ascii="Calibri" w:hAnsi="Calibri"/>
          <w:spacing w:val="-10"/>
          <w:sz w:val="20"/>
        </w:rPr>
        <w:t> </w:t>
      </w:r>
      <w:r>
        <w:rPr>
          <w:rFonts w:ascii="Calibri" w:hAnsi="Calibri"/>
          <w:sz w:val="20"/>
        </w:rPr>
        <w:t>owns</w:t>
      </w:r>
      <w:r>
        <w:rPr>
          <w:rFonts w:ascii="Calibri" w:hAnsi="Calibri"/>
          <w:spacing w:val="-11"/>
          <w:sz w:val="20"/>
        </w:rPr>
        <w:t> </w:t>
      </w:r>
      <w:r>
        <w:rPr>
          <w:rFonts w:ascii="Calibri" w:hAnsi="Calibri"/>
          <w:sz w:val="20"/>
        </w:rPr>
        <w:t>the</w:t>
      </w:r>
      <w:r>
        <w:rPr>
          <w:rFonts w:ascii="Calibri" w:hAnsi="Calibri"/>
          <w:spacing w:val="-13"/>
          <w:sz w:val="20"/>
        </w:rPr>
        <w:t> </w:t>
      </w:r>
      <w:r>
        <w:rPr>
          <w:rFonts w:ascii="Calibri" w:hAnsi="Calibri"/>
          <w:sz w:val="20"/>
        </w:rPr>
        <w:t>property needs this payment to pay the loans on the property. The Guarantor of the loan is usually listed as the Equalized Valuation Payments from the State for the charter’s ADM (stated on the Audit). Often the bond holder “Intercepts” their</w:t>
      </w:r>
      <w:r>
        <w:rPr>
          <w:rFonts w:ascii="Calibri" w:hAnsi="Calibri"/>
          <w:spacing w:val="-4"/>
          <w:sz w:val="20"/>
        </w:rPr>
        <w:t> </w:t>
      </w:r>
      <w:r>
        <w:rPr>
          <w:rFonts w:ascii="Calibri" w:hAnsi="Calibri"/>
          <w:sz w:val="20"/>
        </w:rPr>
        <w:t>payment</w:t>
      </w:r>
      <w:r>
        <w:rPr>
          <w:rFonts w:ascii="Calibri" w:hAnsi="Calibri"/>
          <w:spacing w:val="-4"/>
          <w:sz w:val="20"/>
        </w:rPr>
        <w:t> </w:t>
      </w:r>
      <w:r>
        <w:rPr>
          <w:rFonts w:ascii="Calibri" w:hAnsi="Calibri"/>
          <w:sz w:val="20"/>
        </w:rPr>
        <w:t>by</w:t>
      </w:r>
      <w:r>
        <w:rPr>
          <w:rFonts w:ascii="Calibri" w:hAnsi="Calibri"/>
          <w:spacing w:val="-4"/>
          <w:sz w:val="20"/>
        </w:rPr>
        <w:t> </w:t>
      </w:r>
      <w:r>
        <w:rPr>
          <w:rFonts w:ascii="Calibri" w:hAnsi="Calibri"/>
          <w:sz w:val="20"/>
        </w:rPr>
        <w:t>causing</w:t>
      </w:r>
      <w:r>
        <w:rPr>
          <w:rFonts w:ascii="Calibri" w:hAnsi="Calibri"/>
          <w:spacing w:val="-5"/>
          <w:sz w:val="20"/>
        </w:rPr>
        <w:t> </w:t>
      </w:r>
      <w:r>
        <w:rPr>
          <w:rFonts w:ascii="Calibri" w:hAnsi="Calibri"/>
          <w:sz w:val="20"/>
        </w:rPr>
        <w:t>the</w:t>
      </w:r>
      <w:r>
        <w:rPr>
          <w:rFonts w:ascii="Calibri" w:hAnsi="Calibri"/>
          <w:spacing w:val="-1"/>
          <w:sz w:val="20"/>
        </w:rPr>
        <w:t> </w:t>
      </w:r>
      <w:r>
        <w:rPr>
          <w:rFonts w:ascii="Calibri" w:hAnsi="Calibri"/>
          <w:sz w:val="20"/>
        </w:rPr>
        <w:t>charter</w:t>
      </w:r>
      <w:r>
        <w:rPr>
          <w:rFonts w:ascii="Calibri" w:hAnsi="Calibri"/>
          <w:spacing w:val="-5"/>
          <w:sz w:val="20"/>
        </w:rPr>
        <w:t> </w:t>
      </w:r>
      <w:r>
        <w:rPr>
          <w:rFonts w:ascii="Calibri" w:hAnsi="Calibri"/>
          <w:sz w:val="20"/>
        </w:rPr>
        <w:t>group</w:t>
      </w:r>
      <w:r>
        <w:rPr>
          <w:rFonts w:ascii="Calibri" w:hAnsi="Calibri"/>
          <w:spacing w:val="-4"/>
          <w:sz w:val="20"/>
        </w:rPr>
        <w:t> </w:t>
      </w:r>
      <w:r>
        <w:rPr>
          <w:rFonts w:ascii="Calibri" w:hAnsi="Calibri"/>
          <w:sz w:val="20"/>
        </w:rPr>
        <w:t>to</w:t>
      </w:r>
      <w:r>
        <w:rPr>
          <w:rFonts w:ascii="Calibri" w:hAnsi="Calibri"/>
          <w:spacing w:val="-4"/>
          <w:sz w:val="20"/>
        </w:rPr>
        <w:t> </w:t>
      </w:r>
      <w:r>
        <w:rPr>
          <w:rFonts w:ascii="Calibri" w:hAnsi="Calibri"/>
          <w:sz w:val="20"/>
        </w:rPr>
        <w:t>direct</w:t>
      </w:r>
      <w:r>
        <w:rPr>
          <w:rFonts w:ascii="Calibri" w:hAnsi="Calibri"/>
          <w:spacing w:val="-4"/>
          <w:sz w:val="20"/>
        </w:rPr>
        <w:t> </w:t>
      </w:r>
      <w:r>
        <w:rPr>
          <w:rFonts w:ascii="Calibri" w:hAnsi="Calibri"/>
          <w:sz w:val="20"/>
        </w:rPr>
        <w:t>that</w:t>
      </w:r>
      <w:r>
        <w:rPr>
          <w:rFonts w:ascii="Calibri" w:hAnsi="Calibri"/>
          <w:spacing w:val="-4"/>
          <w:sz w:val="20"/>
        </w:rPr>
        <w:t> </w:t>
      </w:r>
      <w:r>
        <w:rPr>
          <w:rFonts w:ascii="Calibri" w:hAnsi="Calibri"/>
          <w:sz w:val="20"/>
        </w:rPr>
        <w:t>payment</w:t>
      </w:r>
      <w:r>
        <w:rPr>
          <w:rFonts w:ascii="Calibri" w:hAnsi="Calibri"/>
          <w:spacing w:val="-4"/>
          <w:sz w:val="20"/>
        </w:rPr>
        <w:t> </w:t>
      </w:r>
      <w:r>
        <w:rPr>
          <w:rFonts w:ascii="Calibri" w:hAnsi="Calibri"/>
          <w:sz w:val="20"/>
        </w:rPr>
        <w:t>from</w:t>
      </w:r>
      <w:r>
        <w:rPr>
          <w:rFonts w:ascii="Calibri" w:hAnsi="Calibri"/>
          <w:spacing w:val="-5"/>
          <w:sz w:val="20"/>
        </w:rPr>
        <w:t> </w:t>
      </w:r>
      <w:r>
        <w:rPr>
          <w:rFonts w:ascii="Calibri" w:hAnsi="Calibri"/>
          <w:sz w:val="20"/>
        </w:rPr>
        <w:t>AZDOE</w:t>
      </w:r>
      <w:r>
        <w:rPr>
          <w:rFonts w:ascii="Calibri" w:hAnsi="Calibri"/>
          <w:spacing w:val="-3"/>
          <w:sz w:val="20"/>
        </w:rPr>
        <w:t> </w:t>
      </w:r>
      <w:r>
        <w:rPr>
          <w:rFonts w:ascii="Calibri" w:hAnsi="Calibri"/>
          <w:sz w:val="20"/>
        </w:rPr>
        <w:t>to</w:t>
      </w:r>
      <w:r>
        <w:rPr>
          <w:rFonts w:ascii="Calibri" w:hAnsi="Calibri"/>
          <w:spacing w:val="-4"/>
          <w:sz w:val="20"/>
        </w:rPr>
        <w:t> </w:t>
      </w:r>
      <w:r>
        <w:rPr>
          <w:rFonts w:ascii="Calibri" w:hAnsi="Calibri"/>
          <w:sz w:val="20"/>
        </w:rPr>
        <w:t>the</w:t>
      </w:r>
      <w:r>
        <w:rPr>
          <w:rFonts w:ascii="Calibri" w:hAnsi="Calibri"/>
          <w:spacing w:val="-3"/>
          <w:sz w:val="20"/>
        </w:rPr>
        <w:t> </w:t>
      </w:r>
      <w:r>
        <w:rPr>
          <w:rFonts w:ascii="Calibri" w:hAnsi="Calibri"/>
          <w:sz w:val="20"/>
        </w:rPr>
        <w:t>lender.</w:t>
      </w:r>
      <w:r>
        <w:rPr>
          <w:rFonts w:ascii="Calibri" w:hAnsi="Calibri"/>
          <w:spacing w:val="-4"/>
          <w:sz w:val="20"/>
        </w:rPr>
        <w:t> </w:t>
      </w:r>
      <w:r>
        <w:rPr>
          <w:rFonts w:ascii="Calibri" w:hAnsi="Calibri"/>
          <w:sz w:val="20"/>
        </w:rPr>
        <w:t>Thus</w:t>
      </w:r>
      <w:r>
        <w:rPr>
          <w:rFonts w:ascii="Calibri" w:hAnsi="Calibri"/>
          <w:spacing w:val="-6"/>
          <w:sz w:val="20"/>
        </w:rPr>
        <w:t> </w:t>
      </w:r>
      <w:r>
        <w:rPr>
          <w:rFonts w:ascii="Calibri" w:hAnsi="Calibri"/>
          <w:sz w:val="20"/>
        </w:rPr>
        <w:t>intercepting</w:t>
      </w:r>
      <w:r>
        <w:rPr>
          <w:rFonts w:ascii="Calibri" w:hAnsi="Calibri"/>
          <w:spacing w:val="-5"/>
          <w:sz w:val="20"/>
        </w:rPr>
        <w:t> </w:t>
      </w:r>
      <w:r>
        <w:rPr>
          <w:rFonts w:ascii="Calibri" w:hAnsi="Calibri"/>
          <w:sz w:val="20"/>
        </w:rPr>
        <w:t>the money</w:t>
      </w:r>
      <w:r>
        <w:rPr>
          <w:rFonts w:ascii="Calibri" w:hAnsi="Calibri"/>
          <w:spacing w:val="-3"/>
          <w:sz w:val="20"/>
        </w:rPr>
        <w:t> </w:t>
      </w:r>
      <w:r>
        <w:rPr>
          <w:rFonts w:ascii="Calibri" w:hAnsi="Calibri"/>
          <w:sz w:val="20"/>
        </w:rPr>
        <w:t>meant</w:t>
      </w:r>
      <w:r>
        <w:rPr>
          <w:rFonts w:ascii="Calibri" w:hAnsi="Calibri"/>
          <w:spacing w:val="-3"/>
          <w:sz w:val="20"/>
        </w:rPr>
        <w:t> </w:t>
      </w:r>
      <w:r>
        <w:rPr>
          <w:rFonts w:ascii="Calibri" w:hAnsi="Calibri"/>
          <w:sz w:val="20"/>
        </w:rPr>
        <w:t>to</w:t>
      </w:r>
      <w:r>
        <w:rPr>
          <w:rFonts w:ascii="Calibri" w:hAnsi="Calibri"/>
          <w:spacing w:val="-3"/>
          <w:sz w:val="20"/>
        </w:rPr>
        <w:t> </w:t>
      </w:r>
      <w:r>
        <w:rPr>
          <w:rFonts w:ascii="Calibri" w:hAnsi="Calibri"/>
          <w:sz w:val="20"/>
        </w:rPr>
        <w:t>pay</w:t>
      </w:r>
      <w:r>
        <w:rPr>
          <w:rFonts w:ascii="Calibri" w:hAnsi="Calibri"/>
          <w:spacing w:val="-2"/>
          <w:sz w:val="20"/>
        </w:rPr>
        <w:t> </w:t>
      </w:r>
      <w:r>
        <w:rPr>
          <w:rFonts w:ascii="Calibri" w:hAnsi="Calibri"/>
          <w:sz w:val="20"/>
        </w:rPr>
        <w:t>for</w:t>
      </w:r>
      <w:r>
        <w:rPr>
          <w:rFonts w:ascii="Calibri" w:hAnsi="Calibri"/>
          <w:spacing w:val="-3"/>
          <w:sz w:val="20"/>
        </w:rPr>
        <w:t> </w:t>
      </w:r>
      <w:r>
        <w:rPr>
          <w:rFonts w:ascii="Calibri" w:hAnsi="Calibri"/>
          <w:sz w:val="20"/>
        </w:rPr>
        <w:t>the</w:t>
      </w:r>
      <w:r>
        <w:rPr>
          <w:rFonts w:ascii="Calibri" w:hAnsi="Calibri"/>
          <w:spacing w:val="-4"/>
          <w:sz w:val="20"/>
        </w:rPr>
        <w:t> </w:t>
      </w:r>
      <w:r>
        <w:rPr>
          <w:rFonts w:ascii="Calibri" w:hAnsi="Calibri"/>
          <w:sz w:val="20"/>
        </w:rPr>
        <w:t>students.</w:t>
      </w:r>
      <w:r>
        <w:rPr>
          <w:rFonts w:ascii="Calibri" w:hAnsi="Calibri"/>
          <w:spacing w:val="-3"/>
          <w:sz w:val="20"/>
        </w:rPr>
        <w:t> </w:t>
      </w:r>
      <w:r>
        <w:rPr>
          <w:rFonts w:ascii="Calibri" w:hAnsi="Calibri"/>
          <w:sz w:val="20"/>
        </w:rPr>
        <w:t>The</w:t>
      </w:r>
      <w:r>
        <w:rPr>
          <w:rFonts w:ascii="Calibri" w:hAnsi="Calibri"/>
          <w:spacing w:val="-4"/>
          <w:sz w:val="20"/>
        </w:rPr>
        <w:t> </w:t>
      </w:r>
      <w:r>
        <w:rPr>
          <w:rFonts w:ascii="Calibri" w:hAnsi="Calibri"/>
          <w:sz w:val="20"/>
        </w:rPr>
        <w:t>expected</w:t>
      </w:r>
      <w:r>
        <w:rPr>
          <w:rFonts w:ascii="Calibri" w:hAnsi="Calibri"/>
          <w:spacing w:val="-3"/>
          <w:sz w:val="20"/>
        </w:rPr>
        <w:t> </w:t>
      </w:r>
      <w:r>
        <w:rPr>
          <w:rFonts w:ascii="Calibri" w:hAnsi="Calibri"/>
          <w:sz w:val="20"/>
        </w:rPr>
        <w:t>Equalized</w:t>
      </w:r>
      <w:r>
        <w:rPr>
          <w:rFonts w:ascii="Calibri" w:hAnsi="Calibri"/>
          <w:spacing w:val="-3"/>
          <w:sz w:val="20"/>
        </w:rPr>
        <w:t> </w:t>
      </w:r>
      <w:r>
        <w:rPr>
          <w:rFonts w:ascii="Calibri" w:hAnsi="Calibri"/>
          <w:sz w:val="20"/>
        </w:rPr>
        <w:t>Payments</w:t>
      </w:r>
      <w:r>
        <w:rPr>
          <w:rFonts w:ascii="Calibri" w:hAnsi="Calibri"/>
          <w:spacing w:val="-4"/>
          <w:sz w:val="20"/>
        </w:rPr>
        <w:t> </w:t>
      </w:r>
      <w:r>
        <w:rPr>
          <w:rFonts w:ascii="Calibri" w:hAnsi="Calibri"/>
          <w:sz w:val="20"/>
        </w:rPr>
        <w:t>are</w:t>
      </w:r>
      <w:r>
        <w:rPr>
          <w:rFonts w:ascii="Calibri" w:hAnsi="Calibri"/>
          <w:spacing w:val="-4"/>
          <w:sz w:val="20"/>
        </w:rPr>
        <w:t> </w:t>
      </w:r>
      <w:r>
        <w:rPr>
          <w:rFonts w:ascii="Calibri" w:hAnsi="Calibri"/>
          <w:sz w:val="20"/>
        </w:rPr>
        <w:t>used</w:t>
      </w:r>
      <w:r>
        <w:rPr>
          <w:rFonts w:ascii="Calibri" w:hAnsi="Calibri"/>
          <w:spacing w:val="-3"/>
          <w:sz w:val="20"/>
        </w:rPr>
        <w:t> </w:t>
      </w:r>
      <w:r>
        <w:rPr>
          <w:rFonts w:ascii="Calibri" w:hAnsi="Calibri"/>
          <w:sz w:val="20"/>
        </w:rPr>
        <w:t>to</w:t>
      </w:r>
      <w:r>
        <w:rPr>
          <w:rFonts w:ascii="Calibri" w:hAnsi="Calibri"/>
          <w:spacing w:val="-3"/>
          <w:sz w:val="20"/>
        </w:rPr>
        <w:t> </w:t>
      </w:r>
      <w:r>
        <w:rPr>
          <w:rFonts w:ascii="Calibri" w:hAnsi="Calibri"/>
          <w:sz w:val="20"/>
        </w:rPr>
        <w:t>guarantee</w:t>
      </w:r>
      <w:r>
        <w:rPr>
          <w:rFonts w:ascii="Calibri" w:hAnsi="Calibri"/>
          <w:spacing w:val="-5"/>
          <w:sz w:val="20"/>
        </w:rPr>
        <w:t> </w:t>
      </w:r>
      <w:r>
        <w:rPr>
          <w:rFonts w:ascii="Calibri" w:hAnsi="Calibri"/>
          <w:sz w:val="20"/>
        </w:rPr>
        <w:t>the</w:t>
      </w:r>
      <w:r>
        <w:rPr>
          <w:rFonts w:ascii="Calibri" w:hAnsi="Calibri"/>
          <w:spacing w:val="-4"/>
          <w:sz w:val="20"/>
        </w:rPr>
        <w:t> </w:t>
      </w:r>
      <w:r>
        <w:rPr>
          <w:rFonts w:ascii="Calibri" w:hAnsi="Calibri"/>
          <w:sz w:val="20"/>
        </w:rPr>
        <w:t>loans.</w:t>
      </w:r>
    </w:p>
    <w:p>
      <w:pPr>
        <w:spacing w:after="0"/>
        <w:jc w:val="both"/>
        <w:rPr>
          <w:rFonts w:ascii="Calibri" w:hAnsi="Calibri"/>
          <w:sz w:val="20"/>
        </w:rPr>
        <w:sectPr>
          <w:pgSz w:w="12240" w:h="15840"/>
          <w:pgMar w:header="740" w:footer="1002" w:top="940" w:bottom="1200" w:left="1200" w:right="1200"/>
        </w:sectPr>
      </w:pPr>
    </w:p>
    <w:p>
      <w:pPr>
        <w:pStyle w:val="BodyText"/>
        <w:rPr>
          <w:rFonts w:ascii="Calibri"/>
          <w:sz w:val="20"/>
        </w:rPr>
      </w:pPr>
    </w:p>
    <w:p>
      <w:pPr>
        <w:pStyle w:val="BodyText"/>
        <w:rPr>
          <w:rFonts w:ascii="Calibri"/>
          <w:sz w:val="20"/>
        </w:rPr>
      </w:pPr>
    </w:p>
    <w:p>
      <w:pPr>
        <w:pStyle w:val="BodyText"/>
        <w:rPr>
          <w:rFonts w:ascii="Calibri"/>
          <w:sz w:val="20"/>
        </w:rPr>
      </w:pPr>
    </w:p>
    <w:p>
      <w:pPr>
        <w:spacing w:line="276" w:lineRule="auto" w:before="238"/>
        <w:ind w:left="120" w:right="111" w:firstLine="0"/>
        <w:jc w:val="both"/>
        <w:rPr>
          <w:sz w:val="16"/>
        </w:rPr>
      </w:pPr>
      <w:r>
        <w:rPr>
          <w:sz w:val="24"/>
        </w:rPr>
        <w:t>Many companies (proxy companies set up for real estate, teachers and school level administrators leased as a purchased commodity, rental, etc.) are owned by the same group of related parties that run the school. </w:t>
      </w:r>
      <w:r>
        <w:rPr>
          <w:i/>
          <w:sz w:val="24"/>
        </w:rPr>
        <w:t>In fact, there is no logical reason for setting </w:t>
      </w:r>
      <w:r>
        <w:rPr>
          <w:i/>
          <w:sz w:val="24"/>
        </w:rPr>
        <w:t>up these “subsidiaries” except to capture fees for the “services” the subsidiaries provide. </w:t>
      </w:r>
      <w:r>
        <w:rPr>
          <w:sz w:val="24"/>
        </w:rPr>
        <w:t>These</w:t>
      </w:r>
      <w:r>
        <w:rPr>
          <w:spacing w:val="-17"/>
          <w:sz w:val="24"/>
        </w:rPr>
        <w:t> </w:t>
      </w:r>
      <w:r>
        <w:rPr>
          <w:sz w:val="24"/>
        </w:rPr>
        <w:t>figures</w:t>
      </w:r>
      <w:r>
        <w:rPr>
          <w:spacing w:val="-15"/>
          <w:sz w:val="24"/>
        </w:rPr>
        <w:t> </w:t>
      </w:r>
      <w:r>
        <w:rPr>
          <w:sz w:val="24"/>
        </w:rPr>
        <w:t>DO</w:t>
      </w:r>
      <w:r>
        <w:rPr>
          <w:spacing w:val="-15"/>
          <w:sz w:val="24"/>
        </w:rPr>
        <w:t> </w:t>
      </w:r>
      <w:r>
        <w:rPr>
          <w:sz w:val="24"/>
        </w:rPr>
        <w:t>NOT</w:t>
      </w:r>
      <w:r>
        <w:rPr>
          <w:spacing w:val="-16"/>
          <w:sz w:val="24"/>
        </w:rPr>
        <w:t> </w:t>
      </w:r>
      <w:r>
        <w:rPr>
          <w:sz w:val="24"/>
        </w:rPr>
        <w:t>include</w:t>
      </w:r>
      <w:r>
        <w:rPr>
          <w:spacing w:val="-15"/>
          <w:sz w:val="24"/>
        </w:rPr>
        <w:t> </w:t>
      </w:r>
      <w:r>
        <w:rPr>
          <w:sz w:val="24"/>
        </w:rPr>
        <w:t>some</w:t>
      </w:r>
      <w:r>
        <w:rPr>
          <w:spacing w:val="-15"/>
          <w:sz w:val="24"/>
        </w:rPr>
        <w:t> </w:t>
      </w:r>
      <w:r>
        <w:rPr>
          <w:sz w:val="24"/>
        </w:rPr>
        <w:t>of</w:t>
      </w:r>
      <w:r>
        <w:rPr>
          <w:spacing w:val="-15"/>
          <w:sz w:val="24"/>
        </w:rPr>
        <w:t> </w:t>
      </w:r>
      <w:r>
        <w:rPr>
          <w:sz w:val="24"/>
        </w:rPr>
        <w:t>the</w:t>
      </w:r>
      <w:r>
        <w:rPr>
          <w:spacing w:val="-15"/>
          <w:sz w:val="24"/>
        </w:rPr>
        <w:t> </w:t>
      </w:r>
      <w:r>
        <w:rPr>
          <w:sz w:val="24"/>
        </w:rPr>
        <w:t>consulting</w:t>
      </w:r>
      <w:r>
        <w:rPr>
          <w:spacing w:val="-16"/>
          <w:sz w:val="24"/>
        </w:rPr>
        <w:t> </w:t>
      </w:r>
      <w:r>
        <w:rPr>
          <w:sz w:val="24"/>
        </w:rPr>
        <w:t>payments</w:t>
      </w:r>
      <w:r>
        <w:rPr>
          <w:spacing w:val="-15"/>
          <w:sz w:val="24"/>
        </w:rPr>
        <w:t> </w:t>
      </w:r>
      <w:r>
        <w:rPr>
          <w:sz w:val="24"/>
        </w:rPr>
        <w:t>made</w:t>
      </w:r>
      <w:r>
        <w:rPr>
          <w:spacing w:val="-15"/>
          <w:sz w:val="24"/>
        </w:rPr>
        <w:t> </w:t>
      </w:r>
      <w:r>
        <w:rPr>
          <w:sz w:val="24"/>
        </w:rPr>
        <w:t>as</w:t>
      </w:r>
      <w:r>
        <w:rPr>
          <w:spacing w:val="-15"/>
          <w:sz w:val="24"/>
        </w:rPr>
        <w:t> </w:t>
      </w:r>
      <w:r>
        <w:rPr>
          <w:sz w:val="24"/>
        </w:rPr>
        <w:t>they</w:t>
      </w:r>
      <w:r>
        <w:rPr>
          <w:spacing w:val="-18"/>
          <w:sz w:val="24"/>
        </w:rPr>
        <w:t> </w:t>
      </w:r>
      <w:r>
        <w:rPr>
          <w:sz w:val="24"/>
        </w:rPr>
        <w:t>were</w:t>
      </w:r>
      <w:r>
        <w:rPr>
          <w:spacing w:val="-15"/>
          <w:sz w:val="24"/>
        </w:rPr>
        <w:t> </w:t>
      </w:r>
      <w:r>
        <w:rPr>
          <w:sz w:val="24"/>
        </w:rPr>
        <w:t>often on the IRS 990 but not present in the charter’s audited materials. One such charge was for $217,000 a</w:t>
      </w:r>
      <w:r>
        <w:rPr>
          <w:spacing w:val="-14"/>
          <w:sz w:val="24"/>
        </w:rPr>
        <w:t> </w:t>
      </w:r>
      <w:r>
        <w:rPr>
          <w:sz w:val="24"/>
        </w:rPr>
        <w:t>year.</w:t>
      </w:r>
      <w:hyperlink w:history="true" w:anchor="_bookmark35">
        <w:r>
          <w:rPr>
            <w:position w:val="8"/>
            <w:sz w:val="16"/>
          </w:rPr>
          <w:t>13</w:t>
        </w:r>
      </w:hyperlink>
    </w:p>
    <w:p>
      <w:pPr>
        <w:pStyle w:val="BodyText"/>
        <w:spacing w:line="276" w:lineRule="auto" w:before="201"/>
        <w:ind w:left="120" w:right="113"/>
        <w:jc w:val="both"/>
      </w:pPr>
      <w:r>
        <w:rPr>
          <w:b/>
        </w:rPr>
        <w:t>Good News in the Data: </w:t>
      </w:r>
      <w:r>
        <w:rPr/>
        <w:t>Twenty-three percent, about one in four, of Arizona’s charters ARE providing an educational opportunity while maintaining high ethical and financial standards. The figure should not be a shock. It is close to the figures obtained in psychological research that look at factors that influence our decision making process. The percentage of people that do the right thing in spite of the situation is statistically in the range of 20 – 31% (Blass 2000, Pojman, Vaughn, and Vaughn 2014, Society for Economic Anthropology (U.S.). Meeting (2006: Ventura Calif.), Browne, and Milgram 2009, Werhane 2013)</w:t>
      </w:r>
    </w:p>
    <w:p>
      <w:pPr>
        <w:pStyle w:val="Heading2"/>
        <w:spacing w:before="197"/>
        <w:jc w:val="both"/>
      </w:pPr>
      <w:bookmarkStart w:name="_bookmark33" w:id="34"/>
      <w:bookmarkEnd w:id="34"/>
      <w:r>
        <w:rPr>
          <w:b w:val="0"/>
        </w:rPr>
      </w:r>
      <w:r>
        <w:rPr>
          <w:color w:val="4F81BC"/>
        </w:rPr>
        <w:t>An Exemplar: Arizona Large Charter in the 23 Percent</w:t>
      </w:r>
    </w:p>
    <w:p>
      <w:pPr>
        <w:pStyle w:val="BodyText"/>
        <w:spacing w:line="276" w:lineRule="auto" w:before="42"/>
        <w:ind w:left="120" w:right="105"/>
        <w:jc w:val="both"/>
      </w:pPr>
      <w:r>
        <w:rPr/>
        <w:t>A large charter group does it all in an ethical manner without any of the irregular transactions and self-dealing noted in the overall data is discussed here. Linda Proctor- Downing’s </w:t>
      </w:r>
      <w:r>
        <w:rPr>
          <w:sz w:val="22"/>
        </w:rPr>
        <w:t>Arizona Agribusiness and Equine Centers </w:t>
      </w:r>
      <w:r>
        <w:rPr/>
        <w:t>provide a unique charter choice with a true alternative to public district offerings. This charter fairly compensates their staff, provides Arizona state retirement benefits and does not over-compensate management. All this while providing a program with academic and financial results ASBCS can be proud of.</w:t>
      </w:r>
    </w:p>
    <w:p>
      <w:pPr>
        <w:pStyle w:val="BodyText"/>
        <w:spacing w:line="276" w:lineRule="auto" w:before="197"/>
        <w:ind w:left="120" w:right="110"/>
        <w:jc w:val="both"/>
      </w:pPr>
      <w:r>
        <w:rPr/>
        <w:t>There is </w:t>
      </w:r>
      <w:r>
        <w:rPr>
          <w:i/>
        </w:rPr>
        <w:t>no </w:t>
      </w:r>
      <w:r>
        <w:rPr/>
        <w:t>evidence that this stellar charter selectively picks their students. They put money into their programs and the classroom. With six sites, the average Classroom Spending is above 51%, well above the 45% for charters as a whole (see Classroom Spending section to follow). This large charter is an exemplar for the charter movement. The</w:t>
      </w:r>
      <w:r>
        <w:rPr>
          <w:spacing w:val="-13"/>
        </w:rPr>
        <w:t> </w:t>
      </w:r>
      <w:r>
        <w:rPr/>
        <w:t>espoused</w:t>
      </w:r>
      <w:r>
        <w:rPr>
          <w:spacing w:val="-13"/>
        </w:rPr>
        <w:t> </w:t>
      </w:r>
      <w:r>
        <w:rPr/>
        <w:t>theories</w:t>
      </w:r>
      <w:r>
        <w:rPr>
          <w:spacing w:val="-14"/>
        </w:rPr>
        <w:t> </w:t>
      </w:r>
      <w:r>
        <w:rPr/>
        <w:t>of</w:t>
      </w:r>
      <w:r>
        <w:rPr>
          <w:spacing w:val="-11"/>
        </w:rPr>
        <w:t> </w:t>
      </w:r>
      <w:r>
        <w:rPr/>
        <w:t>action</w:t>
      </w:r>
      <w:r>
        <w:rPr>
          <w:spacing w:val="-13"/>
        </w:rPr>
        <w:t> </w:t>
      </w:r>
      <w:r>
        <w:rPr/>
        <w:t>at</w:t>
      </w:r>
      <w:r>
        <w:rPr>
          <w:spacing w:val="-13"/>
        </w:rPr>
        <w:t> </w:t>
      </w:r>
      <w:r>
        <w:rPr/>
        <w:t>this</w:t>
      </w:r>
      <w:r>
        <w:rPr>
          <w:spacing w:val="-14"/>
        </w:rPr>
        <w:t> </w:t>
      </w:r>
      <w:r>
        <w:rPr/>
        <w:t>charter</w:t>
      </w:r>
      <w:r>
        <w:rPr>
          <w:spacing w:val="-17"/>
        </w:rPr>
        <w:t> </w:t>
      </w:r>
      <w:r>
        <w:rPr/>
        <w:t>match</w:t>
      </w:r>
      <w:r>
        <w:rPr>
          <w:spacing w:val="-13"/>
        </w:rPr>
        <w:t> </w:t>
      </w:r>
      <w:r>
        <w:rPr/>
        <w:t>their</w:t>
      </w:r>
      <w:r>
        <w:rPr>
          <w:spacing w:val="-15"/>
        </w:rPr>
        <w:t> </w:t>
      </w:r>
      <w:r>
        <w:rPr/>
        <w:t>theory</w:t>
      </w:r>
      <w:r>
        <w:rPr>
          <w:spacing w:val="-17"/>
        </w:rPr>
        <w:t> </w:t>
      </w:r>
      <w:r>
        <w:rPr/>
        <w:t>in</w:t>
      </w:r>
      <w:r>
        <w:rPr>
          <w:spacing w:val="-13"/>
        </w:rPr>
        <w:t> </w:t>
      </w:r>
      <w:r>
        <w:rPr/>
        <w:t>use.</w:t>
      </w:r>
      <w:r>
        <w:rPr>
          <w:spacing w:val="-16"/>
        </w:rPr>
        <w:t> </w:t>
      </w:r>
      <w:r>
        <w:rPr>
          <w:spacing w:val="1"/>
        </w:rPr>
        <w:t>The</w:t>
      </w:r>
      <w:r>
        <w:rPr>
          <w:spacing w:val="-13"/>
        </w:rPr>
        <w:t> </w:t>
      </w:r>
      <w:r>
        <w:rPr/>
        <w:t>case</w:t>
      </w:r>
      <w:r>
        <w:rPr>
          <w:spacing w:val="-13"/>
        </w:rPr>
        <w:t> </w:t>
      </w:r>
      <w:r>
        <w:rPr/>
        <w:t>in</w:t>
      </w:r>
      <w:r>
        <w:rPr>
          <w:spacing w:val="-16"/>
        </w:rPr>
        <w:t> </w:t>
      </w:r>
      <w:r>
        <w:rPr/>
        <w:t>23% of all charters. See:  </w:t>
      </w:r>
      <w:hyperlink w:history="true" w:anchor="_bookmark77">
        <w:r>
          <w:rPr>
            <w:color w:val="1F487C"/>
          </w:rPr>
          <w:t>Addendum B </w:t>
        </w:r>
      </w:hyperlink>
      <w:r>
        <w:rPr/>
        <w:t>for a listing of these type of charter</w:t>
      </w:r>
      <w:r>
        <w:rPr>
          <w:spacing w:val="-27"/>
        </w:rPr>
        <w:t> </w:t>
      </w:r>
      <w:r>
        <w:rPr/>
        <w:t>groups.</w:t>
      </w:r>
    </w:p>
    <w:p>
      <w:pPr>
        <w:pStyle w:val="Heading2"/>
        <w:spacing w:before="204"/>
        <w:jc w:val="both"/>
      </w:pPr>
      <w:bookmarkStart w:name="_bookmark34" w:id="35"/>
      <w:bookmarkEnd w:id="35"/>
      <w:r>
        <w:rPr>
          <w:b w:val="0"/>
        </w:rPr>
      </w:r>
      <w:r>
        <w:rPr>
          <w:color w:val="4F81BC"/>
        </w:rPr>
        <w:t>Charter Sales of Property and Assets follow this Pattern of Insider Dealing</w:t>
      </w:r>
    </w:p>
    <w:p>
      <w:pPr>
        <w:pStyle w:val="BodyText"/>
        <w:spacing w:line="280" w:lineRule="auto" w:before="40"/>
        <w:ind w:left="120" w:right="114"/>
        <w:jc w:val="both"/>
      </w:pPr>
      <w:r>
        <w:rPr/>
        <w:pict>
          <v:line style="position:absolute;mso-position-horizontal-relative:page;mso-position-vertical-relative:paragraph;z-index:-180352" from="72pt,17.685854pt" to="216pt,17.685854pt" stroked="true" strokeweight=".72pt" strokecolor="#000000">
            <v:stroke dashstyle="solid"/>
            <w10:wrap type="none"/>
          </v:line>
        </w:pict>
      </w:r>
      <w:r>
        <w:rPr/>
        <w:t>The</w:t>
      </w:r>
      <w:r>
        <w:rPr>
          <w:spacing w:val="-12"/>
        </w:rPr>
        <w:t> </w:t>
      </w:r>
      <w:r>
        <w:rPr/>
        <w:t>problem</w:t>
      </w:r>
      <w:r>
        <w:rPr>
          <w:spacing w:val="-11"/>
        </w:rPr>
        <w:t> </w:t>
      </w:r>
      <w:r>
        <w:rPr/>
        <w:t>of</w:t>
      </w:r>
      <w:r>
        <w:rPr>
          <w:spacing w:val="-10"/>
        </w:rPr>
        <w:t> </w:t>
      </w:r>
      <w:r>
        <w:rPr/>
        <w:t>related-party</w:t>
      </w:r>
      <w:r>
        <w:rPr>
          <w:spacing w:val="-15"/>
        </w:rPr>
        <w:t> </w:t>
      </w:r>
      <w:r>
        <w:rPr/>
        <w:t>transactions</w:t>
      </w:r>
      <w:r>
        <w:rPr>
          <w:spacing w:val="-13"/>
        </w:rPr>
        <w:t> </w:t>
      </w:r>
      <w:r>
        <w:rPr/>
        <w:t>is</w:t>
      </w:r>
      <w:r>
        <w:rPr>
          <w:spacing w:val="-11"/>
        </w:rPr>
        <w:t> </w:t>
      </w:r>
      <w:r>
        <w:rPr/>
        <w:t>exasperated</w:t>
      </w:r>
      <w:r>
        <w:rPr>
          <w:spacing w:val="-12"/>
        </w:rPr>
        <w:t> </w:t>
      </w:r>
      <w:r>
        <w:rPr/>
        <w:t>when</w:t>
      </w:r>
      <w:r>
        <w:rPr>
          <w:spacing w:val="-12"/>
        </w:rPr>
        <w:t> </w:t>
      </w:r>
      <w:r>
        <w:rPr/>
        <w:t>the</w:t>
      </w:r>
      <w:r>
        <w:rPr>
          <w:spacing w:val="-12"/>
        </w:rPr>
        <w:t> </w:t>
      </w:r>
      <w:r>
        <w:rPr/>
        <w:t>charter</w:t>
      </w:r>
      <w:r>
        <w:rPr>
          <w:spacing w:val="-13"/>
        </w:rPr>
        <w:t> </w:t>
      </w:r>
      <w:r>
        <w:rPr/>
        <w:t>sells</w:t>
      </w:r>
      <w:r>
        <w:rPr>
          <w:spacing w:val="-13"/>
        </w:rPr>
        <w:t> </w:t>
      </w:r>
      <w:r>
        <w:rPr/>
        <w:t>the</w:t>
      </w:r>
      <w:r>
        <w:rPr>
          <w:spacing w:val="-12"/>
        </w:rPr>
        <w:t> </w:t>
      </w:r>
      <w:r>
        <w:rPr/>
        <w:t>rights to the school’s charter and property to an insider (i.e. a related party). One charter sales witnessed by the author was a closed sales to insiders. A second insider</w:t>
      </w:r>
      <w:r>
        <w:rPr>
          <w:spacing w:val="-17"/>
        </w:rPr>
        <w:t> </w:t>
      </w:r>
      <w:r>
        <w:rPr/>
        <w:t>sale,</w:t>
      </w:r>
    </w:p>
    <w:p>
      <w:pPr>
        <w:spacing w:before="64"/>
        <w:ind w:left="120" w:right="215" w:firstLine="0"/>
        <w:jc w:val="left"/>
        <w:rPr>
          <w:rFonts w:ascii="Calibri" w:hAnsi="Calibri"/>
          <w:sz w:val="20"/>
        </w:rPr>
      </w:pPr>
      <w:bookmarkStart w:name="_bookmark35" w:id="36"/>
      <w:bookmarkEnd w:id="36"/>
      <w:r>
        <w:rPr/>
      </w:r>
      <w:r>
        <w:rPr>
          <w:rFonts w:ascii="Calibri" w:hAnsi="Calibri"/>
          <w:position w:val="7"/>
          <w:sz w:val="13"/>
        </w:rPr>
        <w:t>13 </w:t>
      </w:r>
      <w:r>
        <w:rPr>
          <w:rFonts w:ascii="Calibri" w:hAnsi="Calibri"/>
          <w:sz w:val="20"/>
        </w:rPr>
        <w:t>Edkey Inc.’s former owner, received the $217,000 consulting payment in 2014-2015. See Section B Subcontractor in Part VII on form 990: </w:t>
      </w:r>
      <w:hyperlink r:id="rId31">
        <w:r>
          <w:rPr>
            <w:rFonts w:ascii="Calibri" w:hAnsi="Calibri"/>
            <w:sz w:val="20"/>
          </w:rPr>
          <w:t>http://www.guidestar.org/FinDocuments/2015/743/033/2015-743033931-</w:t>
        </w:r>
      </w:hyperlink>
      <w:r>
        <w:rPr>
          <w:rFonts w:ascii="Calibri" w:hAnsi="Calibri"/>
          <w:sz w:val="20"/>
        </w:rPr>
        <w:t> </w:t>
      </w:r>
      <w:hyperlink r:id="rId31">
        <w:r>
          <w:rPr>
            <w:rFonts w:ascii="Calibri" w:hAnsi="Calibri"/>
            <w:sz w:val="20"/>
          </w:rPr>
          <w:t>0cbb4212-9.pdf</w:t>
        </w:r>
      </w:hyperlink>
    </w:p>
    <w:p>
      <w:pPr>
        <w:spacing w:after="0"/>
        <w:jc w:val="left"/>
        <w:rPr>
          <w:rFonts w:ascii="Calibri" w:hAnsi="Calibri"/>
          <w:sz w:val="20"/>
        </w:rPr>
        <w:sectPr>
          <w:pgSz w:w="12240" w:h="15840"/>
          <w:pgMar w:header="740" w:footer="1002" w:top="940" w:bottom="1200" w:left="1320" w:right="1320"/>
        </w:sectPr>
      </w:pPr>
    </w:p>
    <w:p>
      <w:pPr>
        <w:pStyle w:val="BodyText"/>
        <w:rPr>
          <w:rFonts w:ascii="Calibri"/>
          <w:sz w:val="20"/>
        </w:rPr>
      </w:pPr>
    </w:p>
    <w:p>
      <w:pPr>
        <w:pStyle w:val="BodyText"/>
        <w:spacing w:before="3"/>
        <w:rPr>
          <w:rFonts w:ascii="Calibri"/>
          <w:sz w:val="19"/>
        </w:rPr>
      </w:pPr>
    </w:p>
    <w:p>
      <w:pPr>
        <w:pStyle w:val="BodyText"/>
        <w:ind w:left="120" w:right="41"/>
      </w:pPr>
      <w:r>
        <w:rPr/>
        <w:t>involved paying $1.5 million for this related party’s online charter company (a company that</w:t>
      </w:r>
      <w:r>
        <w:rPr>
          <w:spacing w:val="-11"/>
        </w:rPr>
        <w:t> </w:t>
      </w:r>
      <w:r>
        <w:rPr/>
        <w:t>was</w:t>
      </w:r>
      <w:r>
        <w:rPr>
          <w:spacing w:val="-12"/>
        </w:rPr>
        <w:t> </w:t>
      </w:r>
      <w:r>
        <w:rPr/>
        <w:t>financially</w:t>
      </w:r>
      <w:r>
        <w:rPr>
          <w:spacing w:val="-12"/>
        </w:rPr>
        <w:t> </w:t>
      </w:r>
      <w:r>
        <w:rPr/>
        <w:t>in</w:t>
      </w:r>
      <w:r>
        <w:rPr>
          <w:spacing w:val="-9"/>
        </w:rPr>
        <w:t> </w:t>
      </w:r>
      <w:r>
        <w:rPr/>
        <w:t>the</w:t>
      </w:r>
      <w:r>
        <w:rPr>
          <w:spacing w:val="-8"/>
        </w:rPr>
        <w:t> </w:t>
      </w:r>
      <w:r>
        <w:rPr/>
        <w:t>red</w:t>
      </w:r>
      <w:r>
        <w:rPr>
          <w:spacing w:val="-8"/>
        </w:rPr>
        <w:t> </w:t>
      </w:r>
      <w:r>
        <w:rPr/>
        <w:t>with</w:t>
      </w:r>
      <w:r>
        <w:rPr>
          <w:spacing w:val="-8"/>
        </w:rPr>
        <w:t> </w:t>
      </w:r>
      <w:r>
        <w:rPr/>
        <w:t>“assets”</w:t>
      </w:r>
      <w:r>
        <w:rPr>
          <w:spacing w:val="-9"/>
        </w:rPr>
        <w:t> </w:t>
      </w:r>
      <w:r>
        <w:rPr/>
        <w:t>that</w:t>
      </w:r>
      <w:r>
        <w:rPr>
          <w:spacing w:val="-9"/>
        </w:rPr>
        <w:t> </w:t>
      </w:r>
      <w:r>
        <w:rPr/>
        <w:t>were,</w:t>
      </w:r>
      <w:r>
        <w:rPr>
          <w:spacing w:val="-11"/>
        </w:rPr>
        <w:t> </w:t>
      </w:r>
      <w:r>
        <w:rPr/>
        <w:t>at</w:t>
      </w:r>
      <w:r>
        <w:rPr>
          <w:spacing w:val="-11"/>
        </w:rPr>
        <w:t> </w:t>
      </w:r>
      <w:r>
        <w:rPr/>
        <w:t>best,</w:t>
      </w:r>
      <w:r>
        <w:rPr>
          <w:spacing w:val="-9"/>
        </w:rPr>
        <w:t> </w:t>
      </w:r>
      <w:r>
        <w:rPr/>
        <w:t>worth</w:t>
      </w:r>
      <w:r>
        <w:rPr>
          <w:spacing w:val="-11"/>
        </w:rPr>
        <w:t> </w:t>
      </w:r>
      <w:r>
        <w:rPr/>
        <w:t>a</w:t>
      </w:r>
      <w:r>
        <w:rPr>
          <w:spacing w:val="-11"/>
        </w:rPr>
        <w:t> </w:t>
      </w:r>
      <w:r>
        <w:rPr/>
        <w:t>fraction</w:t>
      </w:r>
      <w:r>
        <w:rPr>
          <w:spacing w:val="-11"/>
        </w:rPr>
        <w:t> </w:t>
      </w:r>
      <w:r>
        <w:rPr/>
        <w:t>of</w:t>
      </w:r>
      <w:r>
        <w:rPr>
          <w:spacing w:val="-9"/>
        </w:rPr>
        <w:t> </w:t>
      </w:r>
      <w:r>
        <w:rPr/>
        <w:t>this</w:t>
      </w:r>
      <w:r>
        <w:rPr>
          <w:spacing w:val="-12"/>
        </w:rPr>
        <w:t> </w:t>
      </w:r>
      <w:r>
        <w:rPr/>
        <w:t>price).</w:t>
      </w:r>
    </w:p>
    <w:p>
      <w:pPr>
        <w:pStyle w:val="BodyText"/>
        <w:spacing w:line="276" w:lineRule="auto" w:before="201"/>
        <w:ind w:left="120" w:right="240"/>
        <w:jc w:val="both"/>
      </w:pPr>
      <w:r>
        <w:rPr/>
        <w:t>Insider deals avoid public scrutiny and may interfere with academic improvements. I.e. the money is used to pay the ever increasing debt. A perfect storm of economic distress occurs when the property and assets are sold above market value. Those type of sales should raise a red flag for the governing body. These type of sales are reported on in depth in the second policy report in this series, Red Flags.</w:t>
      </w:r>
    </w:p>
    <w:p>
      <w:pPr>
        <w:pStyle w:val="BodyText"/>
        <w:spacing w:line="276" w:lineRule="auto" w:before="201"/>
        <w:ind w:left="120" w:right="236"/>
        <w:jc w:val="both"/>
      </w:pPr>
      <w:r>
        <w:rPr/>
        <w:t>American Leadership Academy is a charter group that provides excellent salaries and benefits</w:t>
      </w:r>
      <w:r>
        <w:rPr>
          <w:spacing w:val="-16"/>
        </w:rPr>
        <w:t> </w:t>
      </w:r>
      <w:r>
        <w:rPr/>
        <w:t>to</w:t>
      </w:r>
      <w:r>
        <w:rPr>
          <w:spacing w:val="-16"/>
        </w:rPr>
        <w:t> </w:t>
      </w:r>
      <w:r>
        <w:rPr/>
        <w:t>its</w:t>
      </w:r>
      <w:r>
        <w:rPr>
          <w:spacing w:val="-19"/>
        </w:rPr>
        <w:t> </w:t>
      </w:r>
      <w:r>
        <w:rPr/>
        <w:t>employees,</w:t>
      </w:r>
      <w:r>
        <w:rPr>
          <w:spacing w:val="-16"/>
        </w:rPr>
        <w:t> </w:t>
      </w:r>
      <w:r>
        <w:rPr/>
        <w:t>transportation</w:t>
      </w:r>
      <w:r>
        <w:rPr>
          <w:spacing w:val="-20"/>
        </w:rPr>
        <w:t> </w:t>
      </w:r>
      <w:r>
        <w:rPr/>
        <w:t>for</w:t>
      </w:r>
      <w:r>
        <w:rPr>
          <w:spacing w:val="-17"/>
        </w:rPr>
        <w:t> </w:t>
      </w:r>
      <w:r>
        <w:rPr/>
        <w:t>its</w:t>
      </w:r>
      <w:r>
        <w:rPr>
          <w:spacing w:val="-16"/>
        </w:rPr>
        <w:t> </w:t>
      </w:r>
      <w:r>
        <w:rPr/>
        <w:t>students,</w:t>
      </w:r>
      <w:r>
        <w:rPr>
          <w:spacing w:val="-18"/>
        </w:rPr>
        <w:t> </w:t>
      </w:r>
      <w:r>
        <w:rPr/>
        <w:t>and</w:t>
      </w:r>
      <w:r>
        <w:rPr>
          <w:spacing w:val="-18"/>
        </w:rPr>
        <w:t> </w:t>
      </w:r>
      <w:r>
        <w:rPr/>
        <w:t>boasts</w:t>
      </w:r>
      <w:r>
        <w:rPr>
          <w:spacing w:val="-18"/>
        </w:rPr>
        <w:t> </w:t>
      </w:r>
      <w:r>
        <w:rPr/>
        <w:t>impressive</w:t>
      </w:r>
      <w:r>
        <w:rPr>
          <w:spacing w:val="-18"/>
        </w:rPr>
        <w:t> </w:t>
      </w:r>
      <w:r>
        <w:rPr/>
        <w:t>financials. However, there is evidence that the schools are a subset of a real estate development company operating out of Utah. A recent report from Arizonan’s for Charter School Accountability discusses this</w:t>
      </w:r>
      <w:r>
        <w:rPr>
          <w:spacing w:val="-38"/>
        </w:rPr>
        <w:t> </w:t>
      </w:r>
      <w:r>
        <w:rPr/>
        <w:t>relationship.</w:t>
      </w:r>
    </w:p>
    <w:p>
      <w:pPr>
        <w:pStyle w:val="BodyText"/>
        <w:spacing w:line="273" w:lineRule="auto" w:before="199"/>
        <w:ind w:left="840" w:right="953"/>
        <w:jc w:val="both"/>
        <w:rPr>
          <w:sz w:val="16"/>
        </w:rPr>
      </w:pPr>
      <w:r>
        <w:rPr/>
        <w:t>Glenn </w:t>
      </w:r>
      <w:r>
        <w:rPr>
          <w:spacing w:val="1"/>
        </w:rPr>
        <w:t>Way </w:t>
      </w:r>
      <w:r>
        <w:rPr/>
        <w:t>is a businessman and his business is charter school development. He owns a company in Salt Lake City, Schoolhouse Development LLC, with two partners, Scott and Corey</w:t>
      </w:r>
      <w:r>
        <w:rPr>
          <w:spacing w:val="-49"/>
        </w:rPr>
        <w:t> </w:t>
      </w:r>
      <w:r>
        <w:rPr/>
        <w:t>Brand. Schoolhouse Development LLC provides all aspects of charter school facilities development including data analysis, financing, architectural design, and construction.</w:t>
      </w:r>
      <w:hyperlink w:history="true" w:anchor="_bookmark37">
        <w:r>
          <w:rPr>
            <w:position w:val="8"/>
            <w:sz w:val="16"/>
          </w:rPr>
          <w:t>14 </w:t>
        </w:r>
      </w:hyperlink>
      <w:r>
        <w:rPr/>
        <w:t>They have completed over 20 charter construction projects, including five ALA</w:t>
      </w:r>
      <w:r>
        <w:rPr>
          <w:spacing w:val="-19"/>
        </w:rPr>
        <w:t> </w:t>
      </w:r>
      <w:r>
        <w:rPr/>
        <w:t>schools.</w:t>
      </w:r>
      <w:hyperlink w:history="true" w:anchor="_bookmark38">
        <w:r>
          <w:rPr>
            <w:position w:val="8"/>
            <w:sz w:val="16"/>
          </w:rPr>
          <w:t>15</w:t>
        </w:r>
      </w:hyperlink>
    </w:p>
    <w:p>
      <w:pPr>
        <w:pStyle w:val="BodyText"/>
        <w:spacing w:line="276" w:lineRule="auto" w:before="201"/>
        <w:ind w:left="840" w:right="947"/>
        <w:jc w:val="both"/>
      </w:pPr>
      <w:r>
        <w:rPr/>
        <w:t>Instead of hiring Schoolhouse Development to assist in building their facilities,</w:t>
      </w:r>
      <w:r>
        <w:rPr>
          <w:spacing w:val="-18"/>
        </w:rPr>
        <w:t> </w:t>
      </w:r>
      <w:r>
        <w:rPr/>
        <w:t>ALA</w:t>
      </w:r>
      <w:r>
        <w:rPr>
          <w:spacing w:val="-18"/>
        </w:rPr>
        <w:t> </w:t>
      </w:r>
      <w:r>
        <w:rPr/>
        <w:t>turns</w:t>
      </w:r>
      <w:r>
        <w:rPr>
          <w:spacing w:val="-21"/>
        </w:rPr>
        <w:t> </w:t>
      </w:r>
      <w:r>
        <w:rPr/>
        <w:t>over</w:t>
      </w:r>
      <w:r>
        <w:rPr>
          <w:spacing w:val="-19"/>
        </w:rPr>
        <w:t> </w:t>
      </w:r>
      <w:r>
        <w:rPr/>
        <w:t>the</w:t>
      </w:r>
      <w:r>
        <w:rPr>
          <w:spacing w:val="-18"/>
        </w:rPr>
        <w:t> </w:t>
      </w:r>
      <w:r>
        <w:rPr/>
        <w:t>entire</w:t>
      </w:r>
      <w:r>
        <w:rPr>
          <w:spacing w:val="-19"/>
        </w:rPr>
        <w:t> </w:t>
      </w:r>
      <w:r>
        <w:rPr/>
        <w:t>ownership</w:t>
      </w:r>
      <w:r>
        <w:rPr>
          <w:spacing w:val="-21"/>
        </w:rPr>
        <w:t> </w:t>
      </w:r>
      <w:r>
        <w:rPr/>
        <w:t>of</w:t>
      </w:r>
      <w:r>
        <w:rPr>
          <w:spacing w:val="-19"/>
        </w:rPr>
        <w:t> </w:t>
      </w:r>
      <w:r>
        <w:rPr/>
        <w:t>the</w:t>
      </w:r>
      <w:r>
        <w:rPr>
          <w:spacing w:val="-20"/>
        </w:rPr>
        <w:t> </w:t>
      </w:r>
      <w:r>
        <w:rPr/>
        <w:t>facilities</w:t>
      </w:r>
      <w:r>
        <w:rPr>
          <w:spacing w:val="-18"/>
        </w:rPr>
        <w:t> </w:t>
      </w:r>
      <w:r>
        <w:rPr/>
        <w:t>to</w:t>
      </w:r>
      <w:r>
        <w:rPr>
          <w:spacing w:val="-18"/>
        </w:rPr>
        <w:t> </w:t>
      </w:r>
      <w:r>
        <w:rPr/>
        <w:t>Schoolhouse Development and then leases the facilities back from Schoolhouse. As a result,</w:t>
      </w:r>
      <w:r>
        <w:rPr>
          <w:spacing w:val="-11"/>
        </w:rPr>
        <w:t> </w:t>
      </w:r>
      <w:r>
        <w:rPr/>
        <w:t>Glenn</w:t>
      </w:r>
      <w:r>
        <w:rPr>
          <w:spacing w:val="-15"/>
        </w:rPr>
        <w:t> </w:t>
      </w:r>
      <w:r>
        <w:rPr>
          <w:spacing w:val="1"/>
        </w:rPr>
        <w:t>Way</w:t>
      </w:r>
      <w:r>
        <w:rPr>
          <w:spacing w:val="-13"/>
        </w:rPr>
        <w:t> </w:t>
      </w:r>
      <w:r>
        <w:rPr/>
        <w:t>and</w:t>
      </w:r>
      <w:r>
        <w:rPr>
          <w:spacing w:val="-15"/>
        </w:rPr>
        <w:t> </w:t>
      </w:r>
      <w:r>
        <w:rPr/>
        <w:t>his</w:t>
      </w:r>
      <w:r>
        <w:rPr>
          <w:spacing w:val="-12"/>
        </w:rPr>
        <w:t> </w:t>
      </w:r>
      <w:r>
        <w:rPr/>
        <w:t>partners</w:t>
      </w:r>
      <w:r>
        <w:rPr>
          <w:spacing w:val="-10"/>
        </w:rPr>
        <w:t> </w:t>
      </w:r>
      <w:r>
        <w:rPr/>
        <w:t>become</w:t>
      </w:r>
      <w:r>
        <w:rPr>
          <w:spacing w:val="-11"/>
        </w:rPr>
        <w:t> </w:t>
      </w:r>
      <w:r>
        <w:rPr/>
        <w:t>the</w:t>
      </w:r>
      <w:r>
        <w:rPr>
          <w:spacing w:val="-11"/>
        </w:rPr>
        <w:t> </w:t>
      </w:r>
      <w:r>
        <w:rPr/>
        <w:t>owners</w:t>
      </w:r>
      <w:r>
        <w:rPr>
          <w:spacing w:val="-12"/>
        </w:rPr>
        <w:t> </w:t>
      </w:r>
      <w:r>
        <w:rPr/>
        <w:t>of</w:t>
      </w:r>
      <w:r>
        <w:rPr>
          <w:spacing w:val="-9"/>
        </w:rPr>
        <w:t> </w:t>
      </w:r>
      <w:r>
        <w:rPr/>
        <w:t>all</w:t>
      </w:r>
      <w:r>
        <w:rPr>
          <w:spacing w:val="-13"/>
        </w:rPr>
        <w:t> </w:t>
      </w:r>
      <w:r>
        <w:rPr/>
        <w:t>of</w:t>
      </w:r>
      <w:r>
        <w:rPr>
          <w:spacing w:val="-11"/>
        </w:rPr>
        <w:t> </w:t>
      </w:r>
      <w:r>
        <w:rPr/>
        <w:t>the</w:t>
      </w:r>
      <w:r>
        <w:rPr>
          <w:spacing w:val="-13"/>
        </w:rPr>
        <w:t> </w:t>
      </w:r>
      <w:r>
        <w:rPr/>
        <w:t>property and buildings while collecting untold fees for building the schools. ALA signs its life away with each lease, pledging that all revenue coming to the school will go first to pay the mortgage on the property – Glenn Way’s mortgage. (Hall</w:t>
      </w:r>
      <w:r>
        <w:rPr>
          <w:spacing w:val="-29"/>
        </w:rPr>
        <w:t> </w:t>
      </w:r>
      <w:r>
        <w:rPr/>
        <w:t>2015)</w:t>
      </w:r>
    </w:p>
    <w:p>
      <w:pPr>
        <w:pStyle w:val="Heading2"/>
        <w:spacing w:before="197"/>
        <w:jc w:val="both"/>
      </w:pPr>
      <w:bookmarkStart w:name="_bookmark36" w:id="37"/>
      <w:bookmarkEnd w:id="37"/>
      <w:r>
        <w:rPr>
          <w:b w:val="0"/>
        </w:rPr>
      </w:r>
      <w:r>
        <w:rPr>
          <w:color w:val="4F81BC"/>
        </w:rPr>
        <w:t>Related-Party Transactions at Primavera Technical Learning Center</w:t>
      </w:r>
    </w:p>
    <w:p>
      <w:pPr>
        <w:pStyle w:val="BodyText"/>
        <w:spacing w:line="278" w:lineRule="auto" w:before="43"/>
        <w:ind w:left="120" w:right="242"/>
        <w:jc w:val="both"/>
      </w:pPr>
      <w:r>
        <w:rPr/>
        <w:t>The following is an example of what would normally be considered an irregular business practice. I.e. it would not be tolerated in the “competition” public districts.</w:t>
      </w:r>
    </w:p>
    <w:p>
      <w:pPr>
        <w:pStyle w:val="BodyText"/>
        <w:spacing w:line="278" w:lineRule="auto" w:before="197"/>
        <w:ind w:left="120" w:right="236"/>
        <w:jc w:val="both"/>
      </w:pPr>
      <w:r>
        <w:rPr/>
        <w:t>In</w:t>
      </w:r>
      <w:r>
        <w:rPr>
          <w:spacing w:val="-6"/>
        </w:rPr>
        <w:t> </w:t>
      </w:r>
      <w:r>
        <w:rPr/>
        <w:t>2014,</w:t>
      </w:r>
      <w:r>
        <w:rPr>
          <w:spacing w:val="-6"/>
        </w:rPr>
        <w:t> </w:t>
      </w:r>
      <w:r>
        <w:rPr/>
        <w:t>Primavera</w:t>
      </w:r>
      <w:r>
        <w:rPr>
          <w:spacing w:val="-7"/>
        </w:rPr>
        <w:t> </w:t>
      </w:r>
      <w:r>
        <w:rPr/>
        <w:t>Technical</w:t>
      </w:r>
      <w:r>
        <w:rPr>
          <w:spacing w:val="-7"/>
        </w:rPr>
        <w:t> </w:t>
      </w:r>
      <w:r>
        <w:rPr/>
        <w:t>Learning</w:t>
      </w:r>
      <w:r>
        <w:rPr>
          <w:spacing w:val="-8"/>
        </w:rPr>
        <w:t> </w:t>
      </w:r>
      <w:r>
        <w:rPr/>
        <w:t>Center</w:t>
      </w:r>
      <w:r>
        <w:rPr>
          <w:spacing w:val="-7"/>
        </w:rPr>
        <w:t> </w:t>
      </w:r>
      <w:r>
        <w:rPr/>
        <w:t>paid</w:t>
      </w:r>
      <w:r>
        <w:rPr>
          <w:spacing w:val="-6"/>
        </w:rPr>
        <w:t> </w:t>
      </w:r>
      <w:r>
        <w:rPr/>
        <w:t>a</w:t>
      </w:r>
      <w:r>
        <w:rPr>
          <w:spacing w:val="-6"/>
        </w:rPr>
        <w:t> </w:t>
      </w:r>
      <w:r>
        <w:rPr/>
        <w:t>flat</w:t>
      </w:r>
      <w:r>
        <w:rPr>
          <w:spacing w:val="-9"/>
        </w:rPr>
        <w:t> </w:t>
      </w:r>
      <w:r>
        <w:rPr/>
        <w:t>fee</w:t>
      </w:r>
      <w:r>
        <w:rPr>
          <w:spacing w:val="-8"/>
        </w:rPr>
        <w:t> </w:t>
      </w:r>
      <w:r>
        <w:rPr/>
        <w:t>of</w:t>
      </w:r>
      <w:r>
        <w:rPr>
          <w:spacing w:val="-4"/>
        </w:rPr>
        <w:t> </w:t>
      </w:r>
      <w:r>
        <w:rPr/>
        <w:t>$12.2</w:t>
      </w:r>
      <w:r>
        <w:rPr>
          <w:spacing w:val="-6"/>
        </w:rPr>
        <w:t> </w:t>
      </w:r>
      <w:r>
        <w:rPr/>
        <w:t>million</w:t>
      </w:r>
      <w:r>
        <w:rPr>
          <w:spacing w:val="-8"/>
        </w:rPr>
        <w:t> </w:t>
      </w:r>
      <w:r>
        <w:rPr/>
        <w:t>for</w:t>
      </w:r>
      <w:r>
        <w:rPr>
          <w:spacing w:val="-7"/>
        </w:rPr>
        <w:t> </w:t>
      </w:r>
      <w:r>
        <w:rPr/>
        <w:t>software and curriculum services to The American Virtual Academy, a company</w:t>
      </w:r>
      <w:r>
        <w:rPr>
          <w:spacing w:val="-37"/>
        </w:rPr>
        <w:t> </w:t>
      </w:r>
      <w:r>
        <w:rPr/>
        <w:t>owned</w:t>
      </w:r>
    </w:p>
    <w:p>
      <w:pPr>
        <w:pStyle w:val="BodyText"/>
        <w:spacing w:before="10"/>
        <w:rPr>
          <w:sz w:val="15"/>
        </w:rPr>
      </w:pPr>
      <w:r>
        <w:rPr/>
        <w:pict>
          <v:line style="position:absolute;mso-position-horizontal-relative:page;mso-position-vertical-relative:paragraph;z-index:1648;mso-wrap-distance-left:0;mso-wrap-distance-right:0" from="72pt,11.467254pt" to="216pt,11.467254pt" stroked="true" strokeweight=".72pt" strokecolor="#000000">
            <v:stroke dashstyle="solid"/>
            <w10:wrap type="topAndBottom"/>
          </v:line>
        </w:pict>
      </w:r>
    </w:p>
    <w:p>
      <w:pPr>
        <w:spacing w:line="247" w:lineRule="exact" w:before="44"/>
        <w:ind w:left="120" w:right="0" w:firstLine="0"/>
        <w:jc w:val="both"/>
        <w:rPr>
          <w:rFonts w:ascii="Calibri"/>
          <w:sz w:val="20"/>
        </w:rPr>
      </w:pPr>
      <w:bookmarkStart w:name="_bookmark37" w:id="38"/>
      <w:bookmarkEnd w:id="38"/>
      <w:r>
        <w:rPr/>
      </w:r>
      <w:r>
        <w:rPr>
          <w:rFonts w:ascii="Calibri"/>
          <w:position w:val="7"/>
          <w:sz w:val="13"/>
        </w:rPr>
        <w:t>14</w:t>
      </w:r>
      <w:bookmarkStart w:name="_bookmark38" w:id="39"/>
      <w:bookmarkEnd w:id="39"/>
      <w:r>
        <w:rPr>
          <w:rFonts w:ascii="Calibri"/>
          <w:position w:val="7"/>
          <w:sz w:val="13"/>
        </w:rPr>
      </w:r>
      <w:r>
        <w:rPr>
          <w:rFonts w:ascii="Calibri"/>
          <w:sz w:val="20"/>
        </w:rPr>
        <w:t>Schoolhouse Development, LLC, Services, </w:t>
      </w:r>
      <w:hyperlink r:id="rId32">
        <w:r>
          <w:rPr>
            <w:rFonts w:ascii="Calibri"/>
            <w:sz w:val="20"/>
          </w:rPr>
          <w:t>http://www.schooldev.net/services</w:t>
        </w:r>
      </w:hyperlink>
    </w:p>
    <w:p>
      <w:pPr>
        <w:spacing w:before="0"/>
        <w:ind w:left="120" w:right="0" w:firstLine="0"/>
        <w:jc w:val="both"/>
        <w:rPr>
          <w:rFonts w:ascii="Calibri"/>
          <w:sz w:val="20"/>
        </w:rPr>
      </w:pPr>
      <w:r>
        <w:rPr>
          <w:rFonts w:ascii="Calibri"/>
          <w:position w:val="7"/>
          <w:sz w:val="13"/>
        </w:rPr>
        <w:t>15 </w:t>
      </w:r>
      <w:r>
        <w:rPr>
          <w:rFonts w:ascii="Calibri"/>
          <w:sz w:val="20"/>
        </w:rPr>
        <w:t>Schoolhouse Development, LLC, Portfolio, </w:t>
      </w:r>
      <w:hyperlink r:id="rId33">
        <w:r>
          <w:rPr>
            <w:rFonts w:ascii="Calibri"/>
            <w:sz w:val="20"/>
          </w:rPr>
          <w:t>http://www.schooldev.net/projects</w:t>
        </w:r>
      </w:hyperlink>
    </w:p>
    <w:p>
      <w:pPr>
        <w:spacing w:after="0"/>
        <w:jc w:val="both"/>
        <w:rPr>
          <w:rFonts w:ascii="Calibri"/>
          <w:sz w:val="20"/>
        </w:rPr>
        <w:sectPr>
          <w:pgSz w:w="12240" w:h="15840"/>
          <w:pgMar w:header="740" w:footer="1002" w:top="940" w:bottom="1200" w:left="1320" w:right="1200"/>
        </w:sectPr>
      </w:pPr>
    </w:p>
    <w:p>
      <w:pPr>
        <w:pStyle w:val="BodyText"/>
        <w:rPr>
          <w:rFonts w:ascii="Calibri"/>
          <w:sz w:val="20"/>
        </w:rPr>
      </w:pPr>
    </w:p>
    <w:p>
      <w:pPr>
        <w:pStyle w:val="BodyText"/>
        <w:spacing w:before="5"/>
        <w:rPr>
          <w:rFonts w:ascii="Calibri"/>
          <w:sz w:val="19"/>
        </w:rPr>
      </w:pPr>
    </w:p>
    <w:p>
      <w:pPr>
        <w:pStyle w:val="BodyText"/>
        <w:spacing w:line="276" w:lineRule="auto"/>
        <w:ind w:left="100" w:right="107"/>
        <w:jc w:val="both"/>
      </w:pPr>
      <w:r>
        <w:rPr/>
        <w:t>by the charter holder. The school had 5,172 students during the 2013-14 school year amounting to a per student expense of $2,364.</w:t>
      </w:r>
    </w:p>
    <w:p>
      <w:pPr>
        <w:pStyle w:val="BodyText"/>
        <w:spacing w:line="276" w:lineRule="auto" w:before="201"/>
        <w:ind w:left="100" w:right="112"/>
        <w:jc w:val="both"/>
      </w:pPr>
      <w:r>
        <w:rPr/>
        <w:t>If a school superintendent engaged in the same behavior with a for-profit company that they (the superintendent) owned, the transaction would be in violation of all bidding and purchasing protocols applicable to the public district school system. Arizona chooses to allow</w:t>
      </w:r>
      <w:r>
        <w:rPr>
          <w:spacing w:val="-10"/>
        </w:rPr>
        <w:t> </w:t>
      </w:r>
      <w:r>
        <w:rPr/>
        <w:t>charters</w:t>
      </w:r>
      <w:r>
        <w:rPr>
          <w:spacing w:val="-7"/>
        </w:rPr>
        <w:t> </w:t>
      </w:r>
      <w:r>
        <w:rPr/>
        <w:t>to</w:t>
      </w:r>
      <w:r>
        <w:rPr>
          <w:spacing w:val="-6"/>
        </w:rPr>
        <w:t> </w:t>
      </w:r>
      <w:r>
        <w:rPr/>
        <w:t>engage</w:t>
      </w:r>
      <w:r>
        <w:rPr>
          <w:spacing w:val="-6"/>
        </w:rPr>
        <w:t> </w:t>
      </w:r>
      <w:r>
        <w:rPr/>
        <w:t>in</w:t>
      </w:r>
      <w:r>
        <w:rPr>
          <w:spacing w:val="-6"/>
        </w:rPr>
        <w:t> </w:t>
      </w:r>
      <w:r>
        <w:rPr/>
        <w:t>this</w:t>
      </w:r>
      <w:r>
        <w:rPr>
          <w:spacing w:val="-7"/>
        </w:rPr>
        <w:t> </w:t>
      </w:r>
      <w:r>
        <w:rPr/>
        <w:t>practice.</w:t>
      </w:r>
      <w:r>
        <w:rPr>
          <w:spacing w:val="-9"/>
        </w:rPr>
        <w:t> </w:t>
      </w:r>
      <w:r>
        <w:rPr/>
        <w:t>They</w:t>
      </w:r>
      <w:r>
        <w:rPr>
          <w:spacing w:val="-9"/>
        </w:rPr>
        <w:t> </w:t>
      </w:r>
      <w:r>
        <w:rPr/>
        <w:t>are</w:t>
      </w:r>
      <w:r>
        <w:rPr>
          <w:spacing w:val="-7"/>
        </w:rPr>
        <w:t> </w:t>
      </w:r>
      <w:r>
        <w:rPr/>
        <w:t>not</w:t>
      </w:r>
      <w:r>
        <w:rPr>
          <w:spacing w:val="-6"/>
        </w:rPr>
        <w:t> </w:t>
      </w:r>
      <w:r>
        <w:rPr/>
        <w:t>held</w:t>
      </w:r>
      <w:r>
        <w:rPr>
          <w:spacing w:val="-6"/>
        </w:rPr>
        <w:t> </w:t>
      </w:r>
      <w:r>
        <w:rPr/>
        <w:t>to</w:t>
      </w:r>
      <w:r>
        <w:rPr>
          <w:spacing w:val="-8"/>
        </w:rPr>
        <w:t> </w:t>
      </w:r>
      <w:r>
        <w:rPr/>
        <w:t>the</w:t>
      </w:r>
      <w:r>
        <w:rPr>
          <w:spacing w:val="-6"/>
        </w:rPr>
        <w:t> </w:t>
      </w:r>
      <w:r>
        <w:rPr/>
        <w:t>bidding</w:t>
      </w:r>
      <w:r>
        <w:rPr>
          <w:spacing w:val="-8"/>
        </w:rPr>
        <w:t> </w:t>
      </w:r>
      <w:r>
        <w:rPr/>
        <w:t>and</w:t>
      </w:r>
      <w:r>
        <w:rPr>
          <w:spacing w:val="-6"/>
        </w:rPr>
        <w:t> </w:t>
      </w:r>
      <w:r>
        <w:rPr/>
        <w:t>purchasing rules districts must</w:t>
      </w:r>
      <w:r>
        <w:rPr>
          <w:spacing w:val="-8"/>
        </w:rPr>
        <w:t> </w:t>
      </w:r>
      <w:r>
        <w:rPr/>
        <w:t>follow.</w:t>
      </w:r>
    </w:p>
    <w:p>
      <w:pPr>
        <w:pStyle w:val="BodyText"/>
        <w:spacing w:line="273" w:lineRule="auto" w:before="201"/>
        <w:ind w:left="100" w:right="120"/>
        <w:jc w:val="both"/>
        <w:rPr>
          <w:i/>
        </w:rPr>
      </w:pPr>
      <w:r>
        <w:rPr/>
        <w:t>An example how this type of irregular business practice is treated in the public schools was the recent conviction of a school CEO in Chicago </w:t>
      </w:r>
      <w:r>
        <w:rPr>
          <w:i/>
        </w:rPr>
        <w:t>caught rigging bids.</w:t>
      </w:r>
    </w:p>
    <w:p>
      <w:pPr>
        <w:spacing w:before="199"/>
        <w:ind w:left="100" w:right="0" w:firstLine="0"/>
        <w:jc w:val="both"/>
        <w:rPr>
          <w:i/>
          <w:sz w:val="24"/>
        </w:rPr>
      </w:pPr>
      <w:r>
        <w:rPr>
          <w:i/>
          <w:color w:val="365F91"/>
          <w:sz w:val="24"/>
        </w:rPr>
        <w:t>Crime and Punishment</w:t>
      </w:r>
    </w:p>
    <w:p>
      <w:pPr>
        <w:pStyle w:val="BodyText"/>
        <w:spacing w:line="276" w:lineRule="auto" w:before="47"/>
        <w:ind w:left="100" w:right="107"/>
        <w:jc w:val="both"/>
      </w:pPr>
      <w:r>
        <w:rPr/>
        <w:t>One may legitimately ask, “What about district malaise?” When queried by the author regarding charter issues several Arizona legislators noted that there are financial issues in</w:t>
      </w:r>
      <w:r>
        <w:rPr>
          <w:spacing w:val="-9"/>
        </w:rPr>
        <w:t> </w:t>
      </w:r>
      <w:r>
        <w:rPr/>
        <w:t>districts</w:t>
      </w:r>
      <w:r>
        <w:rPr>
          <w:spacing w:val="-9"/>
        </w:rPr>
        <w:t> </w:t>
      </w:r>
      <w:r>
        <w:rPr/>
        <w:t>also.</w:t>
      </w:r>
      <w:r>
        <w:rPr>
          <w:spacing w:val="-11"/>
        </w:rPr>
        <w:t> </w:t>
      </w:r>
      <w:r>
        <w:rPr/>
        <w:t>This</w:t>
      </w:r>
      <w:r>
        <w:rPr>
          <w:spacing w:val="-12"/>
        </w:rPr>
        <w:t> </w:t>
      </w:r>
      <w:r>
        <w:rPr/>
        <w:t>of</w:t>
      </w:r>
      <w:r>
        <w:rPr>
          <w:spacing w:val="-9"/>
        </w:rPr>
        <w:t> </w:t>
      </w:r>
      <w:r>
        <w:rPr/>
        <w:t>course,</w:t>
      </w:r>
      <w:r>
        <w:rPr>
          <w:spacing w:val="-9"/>
        </w:rPr>
        <w:t> </w:t>
      </w:r>
      <w:r>
        <w:rPr/>
        <w:t>is</w:t>
      </w:r>
      <w:r>
        <w:rPr>
          <w:spacing w:val="-10"/>
        </w:rPr>
        <w:t> </w:t>
      </w:r>
      <w:r>
        <w:rPr/>
        <w:t>true.</w:t>
      </w:r>
      <w:r>
        <w:rPr>
          <w:spacing w:val="-9"/>
        </w:rPr>
        <w:t> </w:t>
      </w:r>
      <w:r>
        <w:rPr/>
        <w:t>However,</w:t>
      </w:r>
      <w:r>
        <w:rPr>
          <w:spacing w:val="-9"/>
        </w:rPr>
        <w:t> </w:t>
      </w:r>
      <w:r>
        <w:rPr/>
        <w:t>when</w:t>
      </w:r>
      <w:r>
        <w:rPr>
          <w:spacing w:val="-8"/>
        </w:rPr>
        <w:t> </w:t>
      </w:r>
      <w:r>
        <w:rPr/>
        <w:t>that</w:t>
      </w:r>
      <w:r>
        <w:rPr>
          <w:spacing w:val="-9"/>
        </w:rPr>
        <w:t> </w:t>
      </w:r>
      <w:r>
        <w:rPr/>
        <w:t>type</w:t>
      </w:r>
      <w:r>
        <w:rPr>
          <w:spacing w:val="-8"/>
        </w:rPr>
        <w:t> </w:t>
      </w:r>
      <w:r>
        <w:rPr/>
        <w:t>of</w:t>
      </w:r>
      <w:r>
        <w:rPr>
          <w:spacing w:val="-9"/>
        </w:rPr>
        <w:t> </w:t>
      </w:r>
      <w:r>
        <w:rPr/>
        <w:t>malaise</w:t>
      </w:r>
      <w:r>
        <w:rPr>
          <w:spacing w:val="-8"/>
        </w:rPr>
        <w:t> </w:t>
      </w:r>
      <w:r>
        <w:rPr/>
        <w:t>is</w:t>
      </w:r>
      <w:r>
        <w:rPr>
          <w:spacing w:val="-10"/>
        </w:rPr>
        <w:t> </w:t>
      </w:r>
      <w:r>
        <w:rPr/>
        <w:t>discovered, as</w:t>
      </w:r>
      <w:r>
        <w:rPr>
          <w:spacing w:val="-7"/>
        </w:rPr>
        <w:t> </w:t>
      </w:r>
      <w:r>
        <w:rPr/>
        <w:t>it</w:t>
      </w:r>
      <w:r>
        <w:rPr>
          <w:spacing w:val="-9"/>
        </w:rPr>
        <w:t> </w:t>
      </w:r>
      <w:r>
        <w:rPr/>
        <w:t>can</w:t>
      </w:r>
      <w:r>
        <w:rPr>
          <w:spacing w:val="-8"/>
        </w:rPr>
        <w:t> </w:t>
      </w:r>
      <w:r>
        <w:rPr/>
        <w:t>be</w:t>
      </w:r>
      <w:r>
        <w:rPr>
          <w:spacing w:val="-8"/>
        </w:rPr>
        <w:t> </w:t>
      </w:r>
      <w:r>
        <w:rPr/>
        <w:t>by</w:t>
      </w:r>
      <w:r>
        <w:rPr>
          <w:spacing w:val="-9"/>
        </w:rPr>
        <w:t> </w:t>
      </w:r>
      <w:r>
        <w:rPr/>
        <w:t>searching</w:t>
      </w:r>
      <w:r>
        <w:rPr>
          <w:spacing w:val="-8"/>
        </w:rPr>
        <w:t> </w:t>
      </w:r>
      <w:r>
        <w:rPr/>
        <w:t>public</w:t>
      </w:r>
      <w:r>
        <w:rPr>
          <w:spacing w:val="-7"/>
        </w:rPr>
        <w:t> </w:t>
      </w:r>
      <w:r>
        <w:rPr/>
        <w:t>information,</w:t>
      </w:r>
      <w:r>
        <w:rPr>
          <w:spacing w:val="-9"/>
        </w:rPr>
        <w:t> </w:t>
      </w:r>
      <w:r>
        <w:rPr/>
        <w:t>the</w:t>
      </w:r>
      <w:r>
        <w:rPr>
          <w:spacing w:val="-8"/>
        </w:rPr>
        <w:t> </w:t>
      </w:r>
      <w:r>
        <w:rPr/>
        <w:t>perpetrators</w:t>
      </w:r>
      <w:r>
        <w:rPr>
          <w:spacing w:val="-8"/>
        </w:rPr>
        <w:t> </w:t>
      </w:r>
      <w:r>
        <w:rPr/>
        <w:t>are</w:t>
      </w:r>
      <w:r>
        <w:rPr>
          <w:spacing w:val="-9"/>
        </w:rPr>
        <w:t> </w:t>
      </w:r>
      <w:r>
        <w:rPr/>
        <w:t>identified</w:t>
      </w:r>
      <w:r>
        <w:rPr>
          <w:spacing w:val="-8"/>
        </w:rPr>
        <w:t> </w:t>
      </w:r>
      <w:r>
        <w:rPr/>
        <w:t>and</w:t>
      </w:r>
      <w:r>
        <w:rPr>
          <w:spacing w:val="-8"/>
        </w:rPr>
        <w:t> </w:t>
      </w:r>
      <w:r>
        <w:rPr/>
        <w:t>punished.</w:t>
      </w:r>
    </w:p>
    <w:p>
      <w:pPr>
        <w:pStyle w:val="BodyText"/>
        <w:spacing w:line="276" w:lineRule="auto" w:before="204"/>
        <w:ind w:left="100" w:right="112"/>
        <w:jc w:val="both"/>
      </w:pPr>
      <w:r>
        <w:rPr/>
        <w:t>Barbara Byrd-Bennett, former top administrator (CEO) in the nation's third-largest public school</w:t>
      </w:r>
      <w:r>
        <w:rPr>
          <w:spacing w:val="-7"/>
        </w:rPr>
        <w:t> </w:t>
      </w:r>
      <w:r>
        <w:rPr/>
        <w:t>district,</w:t>
      </w:r>
      <w:r>
        <w:rPr>
          <w:spacing w:val="-4"/>
        </w:rPr>
        <w:t> </w:t>
      </w:r>
      <w:r>
        <w:rPr/>
        <w:t>Chicago,</w:t>
      </w:r>
      <w:r>
        <w:rPr>
          <w:spacing w:val="-4"/>
        </w:rPr>
        <w:t> </w:t>
      </w:r>
      <w:r>
        <w:rPr/>
        <w:t>was</w:t>
      </w:r>
      <w:r>
        <w:rPr>
          <w:spacing w:val="-4"/>
        </w:rPr>
        <w:t> </w:t>
      </w:r>
      <w:r>
        <w:rPr/>
        <w:t>sentenced</w:t>
      </w:r>
      <w:r>
        <w:rPr>
          <w:spacing w:val="-4"/>
        </w:rPr>
        <w:t> </w:t>
      </w:r>
      <w:r>
        <w:rPr/>
        <w:t>to</w:t>
      </w:r>
      <w:r>
        <w:rPr>
          <w:spacing w:val="-4"/>
        </w:rPr>
        <w:t> </w:t>
      </w:r>
      <w:r>
        <w:rPr/>
        <w:t>4</w:t>
      </w:r>
      <w:r>
        <w:rPr>
          <w:spacing w:val="-8"/>
        </w:rPr>
        <w:t> </w:t>
      </w:r>
      <w:r>
        <w:rPr/>
        <w:t>½</w:t>
      </w:r>
      <w:r>
        <w:rPr>
          <w:spacing w:val="-5"/>
        </w:rPr>
        <w:t> </w:t>
      </w:r>
      <w:r>
        <w:rPr/>
        <w:t>years</w:t>
      </w:r>
      <w:r>
        <w:rPr>
          <w:spacing w:val="-5"/>
        </w:rPr>
        <w:t> </w:t>
      </w:r>
      <w:r>
        <w:rPr/>
        <w:t>in</w:t>
      </w:r>
      <w:r>
        <w:rPr>
          <w:spacing w:val="-4"/>
        </w:rPr>
        <w:t> </w:t>
      </w:r>
      <w:r>
        <w:rPr/>
        <w:t>jail</w:t>
      </w:r>
      <w:r>
        <w:rPr>
          <w:spacing w:val="-5"/>
        </w:rPr>
        <w:t> </w:t>
      </w:r>
      <w:r>
        <w:rPr/>
        <w:t>for</w:t>
      </w:r>
      <w:r>
        <w:rPr>
          <w:spacing w:val="-5"/>
        </w:rPr>
        <w:t> </w:t>
      </w:r>
      <w:r>
        <w:rPr/>
        <w:t>rigging</w:t>
      </w:r>
      <w:r>
        <w:rPr>
          <w:spacing w:val="-6"/>
        </w:rPr>
        <w:t> </w:t>
      </w:r>
      <w:r>
        <w:rPr/>
        <w:t>bids</w:t>
      </w:r>
      <w:r>
        <w:rPr>
          <w:spacing w:val="-6"/>
        </w:rPr>
        <w:t> </w:t>
      </w:r>
      <w:r>
        <w:rPr/>
        <w:t>for</w:t>
      </w:r>
      <w:r>
        <w:rPr>
          <w:spacing w:val="-5"/>
        </w:rPr>
        <w:t> </w:t>
      </w:r>
      <w:r>
        <w:rPr/>
        <w:t>services</w:t>
      </w:r>
      <w:r>
        <w:rPr>
          <w:spacing w:val="-4"/>
        </w:rPr>
        <w:t> </w:t>
      </w:r>
      <w:r>
        <w:rPr/>
        <w:t>to her schools. The amount involved was $2.3 million. She was also sued by the district. This is how accountability should work (Smith</w:t>
      </w:r>
      <w:r>
        <w:rPr>
          <w:spacing w:val="-37"/>
        </w:rPr>
        <w:t> </w:t>
      </w:r>
      <w:r>
        <w:rPr/>
        <w:t>2015).</w:t>
      </w:r>
    </w:p>
    <w:p>
      <w:pPr>
        <w:pStyle w:val="BodyText"/>
        <w:spacing w:line="276" w:lineRule="auto" w:before="199"/>
        <w:ind w:left="100" w:right="108"/>
        <w:jc w:val="both"/>
      </w:pPr>
      <w:r>
        <w:rPr/>
        <w:t>The same type of transactional irregularity resulted in district administrators being fined and convicted in Detroit. The crime, contracts on maintenance supplies controlled by people who should have been looking out for their students. In that case schools were not receiving the needed maintenance supplies because of malfeasance on the part of the administrators. Again, the travesty was caught and the perpetrators punished (Balas 2016). There were policies and laws forbidding these type of dealings.</w:t>
      </w:r>
    </w:p>
    <w:p>
      <w:pPr>
        <w:spacing w:before="200"/>
        <w:ind w:left="100" w:right="0" w:firstLine="0"/>
        <w:jc w:val="both"/>
        <w:rPr>
          <w:i/>
          <w:sz w:val="24"/>
        </w:rPr>
      </w:pPr>
      <w:r>
        <w:rPr>
          <w:i/>
          <w:color w:val="365F91"/>
          <w:sz w:val="24"/>
        </w:rPr>
        <w:t>No Harm, No Foul</w:t>
      </w:r>
    </w:p>
    <w:p>
      <w:pPr>
        <w:pStyle w:val="BodyText"/>
        <w:spacing w:line="276" w:lineRule="auto" w:before="45"/>
        <w:ind w:left="100" w:right="114"/>
        <w:jc w:val="both"/>
      </w:pPr>
      <w:r>
        <w:rPr/>
        <w:t>Related-party sales, which are legal in the charter sector go uninvestigated. Why? In Arizona</w:t>
      </w:r>
      <w:r>
        <w:rPr>
          <w:spacing w:val="-17"/>
        </w:rPr>
        <w:t> </w:t>
      </w:r>
      <w:r>
        <w:rPr/>
        <w:t>it’s</w:t>
      </w:r>
      <w:r>
        <w:rPr>
          <w:spacing w:val="-18"/>
        </w:rPr>
        <w:t> </w:t>
      </w:r>
      <w:r>
        <w:rPr/>
        <w:t>not</w:t>
      </w:r>
      <w:r>
        <w:rPr>
          <w:spacing w:val="-17"/>
        </w:rPr>
        <w:t> </w:t>
      </w:r>
      <w:r>
        <w:rPr/>
        <w:t>a</w:t>
      </w:r>
      <w:r>
        <w:rPr>
          <w:spacing w:val="-17"/>
        </w:rPr>
        <w:t> </w:t>
      </w:r>
      <w:r>
        <w:rPr/>
        <w:t>violation</w:t>
      </w:r>
      <w:r>
        <w:rPr>
          <w:spacing w:val="-17"/>
        </w:rPr>
        <w:t> </w:t>
      </w:r>
      <w:r>
        <w:rPr/>
        <w:t>of</w:t>
      </w:r>
      <w:r>
        <w:rPr>
          <w:spacing w:val="-15"/>
        </w:rPr>
        <w:t> </w:t>
      </w:r>
      <w:r>
        <w:rPr/>
        <w:t>charter</w:t>
      </w:r>
      <w:r>
        <w:rPr>
          <w:spacing w:val="-18"/>
        </w:rPr>
        <w:t> </w:t>
      </w:r>
      <w:r>
        <w:rPr/>
        <w:t>laws</w:t>
      </w:r>
      <w:r>
        <w:rPr>
          <w:spacing w:val="-17"/>
        </w:rPr>
        <w:t> </w:t>
      </w:r>
      <w:r>
        <w:rPr/>
        <w:t>to</w:t>
      </w:r>
      <w:r>
        <w:rPr>
          <w:spacing w:val="-16"/>
        </w:rPr>
        <w:t> </w:t>
      </w:r>
      <w:r>
        <w:rPr/>
        <w:t>do</w:t>
      </w:r>
      <w:r>
        <w:rPr>
          <w:spacing w:val="-17"/>
        </w:rPr>
        <w:t> </w:t>
      </w:r>
      <w:r>
        <w:rPr/>
        <w:t>what</w:t>
      </w:r>
      <w:r>
        <w:rPr>
          <w:spacing w:val="-17"/>
        </w:rPr>
        <w:t> </w:t>
      </w:r>
      <w:r>
        <w:rPr/>
        <w:t>Ms.</w:t>
      </w:r>
      <w:r>
        <w:rPr>
          <w:spacing w:val="-11"/>
        </w:rPr>
        <w:t> </w:t>
      </w:r>
      <w:r>
        <w:rPr/>
        <w:t>Byrd-Bennett</w:t>
      </w:r>
      <w:r>
        <w:rPr>
          <w:spacing w:val="-19"/>
        </w:rPr>
        <w:t> </w:t>
      </w:r>
      <w:r>
        <w:rPr/>
        <w:t>did.</w:t>
      </w:r>
      <w:r>
        <w:rPr>
          <w:spacing w:val="-17"/>
        </w:rPr>
        <w:t> </w:t>
      </w:r>
      <w:r>
        <w:rPr/>
        <w:t>The</w:t>
      </w:r>
      <w:r>
        <w:rPr>
          <w:spacing w:val="-17"/>
        </w:rPr>
        <w:t> </w:t>
      </w:r>
      <w:r>
        <w:rPr/>
        <w:t>difference, she did it in a district where it is illegal and not in a charter, where it is</w:t>
      </w:r>
      <w:r>
        <w:rPr>
          <w:spacing w:val="-24"/>
        </w:rPr>
        <w:t> </w:t>
      </w:r>
      <w:r>
        <w:rPr/>
        <w:t>legal.</w:t>
      </w:r>
    </w:p>
    <w:p>
      <w:pPr>
        <w:pStyle w:val="BodyText"/>
        <w:spacing w:line="276" w:lineRule="auto" w:before="201"/>
        <w:ind w:left="100" w:right="108"/>
        <w:jc w:val="both"/>
      </w:pPr>
      <w:r>
        <w:rPr/>
        <w:t>The reason the Chicago School Chief and the Detroit administrators were caught was because the public can see what is going on in the financials at a public district school. You can’t see the spending in for-profit subsidiaries of charter schools in Arizona. For- profit subsidiaries are established to hide the transactions. The books of these subsidiaries are not audited by the ASBCS.</w:t>
      </w:r>
    </w:p>
    <w:p>
      <w:pPr>
        <w:spacing w:after="0" w:line="276" w:lineRule="auto"/>
        <w:jc w:val="both"/>
        <w:sectPr>
          <w:pgSz w:w="12240" w:h="15840"/>
          <w:pgMar w:header="740" w:footer="1002" w:top="940" w:bottom="1200" w:left="1340" w:right="1320"/>
        </w:sectPr>
      </w:pPr>
    </w:p>
    <w:p>
      <w:pPr>
        <w:pStyle w:val="BodyText"/>
        <w:rPr>
          <w:sz w:val="20"/>
        </w:rPr>
      </w:pPr>
    </w:p>
    <w:p>
      <w:pPr>
        <w:pStyle w:val="BodyText"/>
        <w:spacing w:before="7"/>
        <w:rPr>
          <w:sz w:val="21"/>
        </w:rPr>
      </w:pPr>
    </w:p>
    <w:p>
      <w:pPr>
        <w:pStyle w:val="BodyText"/>
        <w:spacing w:line="276" w:lineRule="auto"/>
        <w:ind w:left="120" w:right="110"/>
        <w:jc w:val="both"/>
      </w:pPr>
      <w:r>
        <w:rPr/>
        <w:t>As one legislator / charter owner explained to the author, “We designed it to work that way.” The financial theory at work is that the marketplace will deal with these types of issues,</w:t>
      </w:r>
      <w:r>
        <w:rPr>
          <w:spacing w:val="-6"/>
        </w:rPr>
        <w:t> </w:t>
      </w:r>
      <w:r>
        <w:rPr/>
        <w:t>but</w:t>
      </w:r>
      <w:r>
        <w:rPr>
          <w:spacing w:val="-6"/>
        </w:rPr>
        <w:t> </w:t>
      </w:r>
      <w:r>
        <w:rPr/>
        <w:t>as</w:t>
      </w:r>
      <w:r>
        <w:rPr>
          <w:spacing w:val="-7"/>
        </w:rPr>
        <w:t> </w:t>
      </w:r>
      <w:r>
        <w:rPr/>
        <w:t>stated</w:t>
      </w:r>
      <w:r>
        <w:rPr>
          <w:spacing w:val="-6"/>
        </w:rPr>
        <w:t> </w:t>
      </w:r>
      <w:r>
        <w:rPr/>
        <w:t>previously</w:t>
      </w:r>
      <w:r>
        <w:rPr>
          <w:spacing w:val="-5"/>
        </w:rPr>
        <w:t> </w:t>
      </w:r>
      <w:r>
        <w:rPr/>
        <w:t>without</w:t>
      </w:r>
      <w:r>
        <w:rPr>
          <w:spacing w:val="-6"/>
        </w:rPr>
        <w:t> </w:t>
      </w:r>
      <w:r>
        <w:rPr/>
        <w:t>full</w:t>
      </w:r>
      <w:r>
        <w:rPr>
          <w:spacing w:val="-8"/>
        </w:rPr>
        <w:t> </w:t>
      </w:r>
      <w:r>
        <w:rPr/>
        <w:t>disclosure,</w:t>
      </w:r>
      <w:r>
        <w:rPr>
          <w:spacing w:val="-6"/>
        </w:rPr>
        <w:t> </w:t>
      </w:r>
      <w:r>
        <w:rPr/>
        <w:t>this</w:t>
      </w:r>
      <w:r>
        <w:rPr>
          <w:spacing w:val="-2"/>
        </w:rPr>
        <w:t> </w:t>
      </w:r>
      <w:r>
        <w:rPr/>
        <w:t>financial</w:t>
      </w:r>
      <w:r>
        <w:rPr>
          <w:spacing w:val="-5"/>
        </w:rPr>
        <w:t> </w:t>
      </w:r>
      <w:r>
        <w:rPr/>
        <w:t>theory</w:t>
      </w:r>
      <w:r>
        <w:rPr>
          <w:spacing w:val="-7"/>
        </w:rPr>
        <w:t> </w:t>
      </w:r>
      <w:r>
        <w:rPr/>
        <w:t>is</w:t>
      </w:r>
      <w:r>
        <w:rPr>
          <w:spacing w:val="-5"/>
        </w:rPr>
        <w:t> </w:t>
      </w:r>
      <w:r>
        <w:rPr/>
        <w:t>discredited. The emperor of free market economics as it is being applied to charters has no clothes. The</w:t>
      </w:r>
      <w:r>
        <w:rPr>
          <w:spacing w:val="-7"/>
        </w:rPr>
        <w:t> </w:t>
      </w:r>
      <w:r>
        <w:rPr/>
        <w:t>regulators</w:t>
      </w:r>
      <w:r>
        <w:rPr>
          <w:spacing w:val="-9"/>
        </w:rPr>
        <w:t> </w:t>
      </w:r>
      <w:r>
        <w:rPr/>
        <w:t>continue</w:t>
      </w:r>
      <w:r>
        <w:rPr>
          <w:spacing w:val="-7"/>
        </w:rPr>
        <w:t> </w:t>
      </w:r>
      <w:r>
        <w:rPr/>
        <w:t>to</w:t>
      </w:r>
      <w:r>
        <w:rPr>
          <w:spacing w:val="-7"/>
        </w:rPr>
        <w:t> </w:t>
      </w:r>
      <w:r>
        <w:rPr/>
        <w:t>admire</w:t>
      </w:r>
      <w:r>
        <w:rPr>
          <w:spacing w:val="-9"/>
        </w:rPr>
        <w:t> </w:t>
      </w:r>
      <w:r>
        <w:rPr/>
        <w:t>the</w:t>
      </w:r>
      <w:r>
        <w:rPr>
          <w:spacing w:val="-7"/>
        </w:rPr>
        <w:t> </w:t>
      </w:r>
      <w:r>
        <w:rPr/>
        <w:t>suit</w:t>
      </w:r>
      <w:r>
        <w:rPr>
          <w:spacing w:val="-10"/>
        </w:rPr>
        <w:t> </w:t>
      </w:r>
      <w:r>
        <w:rPr/>
        <w:t>the</w:t>
      </w:r>
      <w:r>
        <w:rPr>
          <w:spacing w:val="-9"/>
        </w:rPr>
        <w:t> </w:t>
      </w:r>
      <w:r>
        <w:rPr/>
        <w:t>emperor</w:t>
      </w:r>
      <w:r>
        <w:rPr>
          <w:spacing w:val="-11"/>
        </w:rPr>
        <w:t> </w:t>
      </w:r>
      <w:r>
        <w:rPr/>
        <w:t>is</w:t>
      </w:r>
      <w:r>
        <w:rPr>
          <w:spacing w:val="-8"/>
        </w:rPr>
        <w:t> </w:t>
      </w:r>
      <w:r>
        <w:rPr/>
        <w:t>“wearing”</w:t>
      </w:r>
      <w:r>
        <w:rPr>
          <w:spacing w:val="-9"/>
        </w:rPr>
        <w:t> </w:t>
      </w:r>
      <w:r>
        <w:rPr/>
        <w:t>by</w:t>
      </w:r>
      <w:r>
        <w:rPr>
          <w:spacing w:val="-10"/>
        </w:rPr>
        <w:t> </w:t>
      </w:r>
      <w:r>
        <w:rPr/>
        <w:t>pointing</w:t>
      </w:r>
      <w:r>
        <w:rPr>
          <w:spacing w:val="-9"/>
        </w:rPr>
        <w:t> </w:t>
      </w:r>
      <w:r>
        <w:rPr/>
        <w:t>out</w:t>
      </w:r>
      <w:r>
        <w:rPr>
          <w:spacing w:val="-10"/>
        </w:rPr>
        <w:t> </w:t>
      </w:r>
      <w:r>
        <w:rPr/>
        <w:t>outlier academic</w:t>
      </w:r>
      <w:r>
        <w:rPr>
          <w:spacing w:val="-17"/>
        </w:rPr>
        <w:t> </w:t>
      </w:r>
      <w:r>
        <w:rPr/>
        <w:t>successes</w:t>
      </w:r>
      <w:r>
        <w:rPr>
          <w:spacing w:val="-16"/>
        </w:rPr>
        <w:t> </w:t>
      </w:r>
      <w:r>
        <w:rPr/>
        <w:t>and</w:t>
      </w:r>
      <w:r>
        <w:rPr>
          <w:spacing w:val="-13"/>
        </w:rPr>
        <w:t> </w:t>
      </w:r>
      <w:r>
        <w:rPr/>
        <w:t>ignoring</w:t>
      </w:r>
      <w:r>
        <w:rPr>
          <w:spacing w:val="-18"/>
        </w:rPr>
        <w:t> </w:t>
      </w:r>
      <w:r>
        <w:rPr/>
        <w:t>the</w:t>
      </w:r>
      <w:r>
        <w:rPr>
          <w:spacing w:val="-15"/>
        </w:rPr>
        <w:t> </w:t>
      </w:r>
      <w:r>
        <w:rPr/>
        <w:t>warning</w:t>
      </w:r>
      <w:r>
        <w:rPr>
          <w:spacing w:val="-15"/>
        </w:rPr>
        <w:t> </w:t>
      </w:r>
      <w:r>
        <w:rPr/>
        <w:t>signs</w:t>
      </w:r>
      <w:r>
        <w:rPr>
          <w:spacing w:val="-14"/>
        </w:rPr>
        <w:t> </w:t>
      </w:r>
      <w:r>
        <w:rPr/>
        <w:t>in</w:t>
      </w:r>
      <w:r>
        <w:rPr>
          <w:spacing w:val="-16"/>
        </w:rPr>
        <w:t> </w:t>
      </w:r>
      <w:r>
        <w:rPr/>
        <w:t>the</w:t>
      </w:r>
      <w:r>
        <w:rPr>
          <w:spacing w:val="-16"/>
        </w:rPr>
        <w:t> </w:t>
      </w:r>
      <w:r>
        <w:rPr/>
        <w:t>financial</w:t>
      </w:r>
      <w:r>
        <w:rPr>
          <w:spacing w:val="-14"/>
        </w:rPr>
        <w:t> </w:t>
      </w:r>
      <w:r>
        <w:rPr/>
        <w:t>statements.</w:t>
      </w:r>
      <w:r>
        <w:rPr>
          <w:spacing w:val="-15"/>
        </w:rPr>
        <w:t> </w:t>
      </w:r>
      <w:r>
        <w:rPr/>
        <w:t>Politically fixing the field in one’s favor also runs counter to some of the economic theories driving the charter movement (Friedman</w:t>
      </w:r>
      <w:r>
        <w:rPr>
          <w:spacing w:val="-43"/>
        </w:rPr>
        <w:t> </w:t>
      </w:r>
      <w:r>
        <w:rPr/>
        <w:t>1999).</w:t>
      </w:r>
    </w:p>
    <w:p>
      <w:pPr>
        <w:spacing w:before="197"/>
        <w:ind w:left="120" w:right="0" w:firstLine="0"/>
        <w:jc w:val="both"/>
        <w:rPr>
          <w:i/>
          <w:sz w:val="24"/>
        </w:rPr>
      </w:pPr>
      <w:r>
        <w:rPr>
          <w:i/>
          <w:color w:val="365F91"/>
          <w:sz w:val="24"/>
        </w:rPr>
        <w:t>Is the $12 million annually to a charter holder for software a fair market price?</w:t>
      </w:r>
    </w:p>
    <w:p>
      <w:pPr>
        <w:pStyle w:val="BodyText"/>
        <w:spacing w:line="276" w:lineRule="auto" w:before="45"/>
        <w:ind w:left="120" w:right="112"/>
        <w:jc w:val="both"/>
      </w:pPr>
      <w:r>
        <w:rPr/>
        <w:t>Damien Creamer is the founder of Primavera Technical Learning Center which operated Primavera Online. In 2016 its corporate board gave the charter to American Virtual Academy,</w:t>
      </w:r>
      <w:r>
        <w:rPr>
          <w:spacing w:val="-5"/>
        </w:rPr>
        <w:t> </w:t>
      </w:r>
      <w:r>
        <w:rPr/>
        <w:t>a</w:t>
      </w:r>
      <w:r>
        <w:rPr>
          <w:spacing w:val="-8"/>
        </w:rPr>
        <w:t> </w:t>
      </w:r>
      <w:r>
        <w:rPr/>
        <w:t>for</w:t>
      </w:r>
      <w:r>
        <w:rPr>
          <w:spacing w:val="-6"/>
        </w:rPr>
        <w:t> </w:t>
      </w:r>
      <w:r>
        <w:rPr/>
        <w:t>profit</w:t>
      </w:r>
      <w:r>
        <w:rPr>
          <w:spacing w:val="-5"/>
        </w:rPr>
        <w:t> </w:t>
      </w:r>
      <w:r>
        <w:rPr/>
        <w:t>company</w:t>
      </w:r>
      <w:r>
        <w:rPr>
          <w:spacing w:val="-8"/>
        </w:rPr>
        <w:t> </w:t>
      </w:r>
      <w:r>
        <w:rPr/>
        <w:t>whose</w:t>
      </w:r>
      <w:r>
        <w:rPr>
          <w:spacing w:val="-7"/>
        </w:rPr>
        <w:t> </w:t>
      </w:r>
      <w:r>
        <w:rPr/>
        <w:t>charter</w:t>
      </w:r>
      <w:r>
        <w:rPr>
          <w:spacing w:val="-6"/>
        </w:rPr>
        <w:t> </w:t>
      </w:r>
      <w:r>
        <w:rPr/>
        <w:t>t</w:t>
      </w:r>
      <w:r>
        <w:rPr>
          <w:spacing w:val="-7"/>
        </w:rPr>
        <w:t> </w:t>
      </w:r>
      <w:r>
        <w:rPr/>
        <w:t>is</w:t>
      </w:r>
      <w:r>
        <w:rPr>
          <w:spacing w:val="-6"/>
        </w:rPr>
        <w:t> </w:t>
      </w:r>
      <w:r>
        <w:rPr/>
        <w:t>held</w:t>
      </w:r>
      <w:r>
        <w:rPr>
          <w:spacing w:val="-7"/>
        </w:rPr>
        <w:t> </w:t>
      </w:r>
      <w:r>
        <w:rPr/>
        <w:t>by</w:t>
      </w:r>
      <w:r>
        <w:rPr>
          <w:spacing w:val="-8"/>
        </w:rPr>
        <w:t> </w:t>
      </w:r>
      <w:r>
        <w:rPr/>
        <w:t>Damien</w:t>
      </w:r>
      <w:r>
        <w:rPr>
          <w:spacing w:val="-6"/>
        </w:rPr>
        <w:t> </w:t>
      </w:r>
      <w:r>
        <w:rPr/>
        <w:t>Creamer.</w:t>
      </w:r>
      <w:r>
        <w:rPr>
          <w:spacing w:val="-6"/>
        </w:rPr>
        <w:t> </w:t>
      </w:r>
      <w:r>
        <w:rPr/>
        <w:t>Mr.</w:t>
      </w:r>
      <w:r>
        <w:rPr>
          <w:spacing w:val="-8"/>
        </w:rPr>
        <w:t> </w:t>
      </w:r>
      <w:r>
        <w:rPr/>
        <w:t>Creamer is also the only board member listed by the ASBCS (Hall</w:t>
      </w:r>
      <w:r>
        <w:rPr>
          <w:spacing w:val="-48"/>
        </w:rPr>
        <w:t> </w:t>
      </w:r>
      <w:r>
        <w:rPr/>
        <w:t>2017).</w:t>
      </w:r>
    </w:p>
    <w:p>
      <w:pPr>
        <w:pStyle w:val="BodyText"/>
        <w:spacing w:line="276" w:lineRule="auto" w:before="204"/>
        <w:ind w:left="120" w:right="115"/>
        <w:jc w:val="both"/>
        <w:rPr>
          <w:sz w:val="16"/>
        </w:rPr>
      </w:pPr>
      <w:r>
        <w:rPr/>
        <w:t>While receiving a salary of about $100,000 annually for Primavera Online, Damien Creamer’s company American Virtual Academy was receiving software service fees that amounted in fiscal 2014-2015 to $12.2</w:t>
      </w:r>
      <w:r>
        <w:rPr>
          <w:spacing w:val="-49"/>
        </w:rPr>
        <w:t> </w:t>
      </w:r>
      <w:r>
        <w:rPr/>
        <w:t>million. The contract payments were independent of the number of students enrolled and used to pay back owed money. Actual payments in 2014-2015 were $18.6 million. Because American Virtual Academy is a for profit organization that is privately owned, how that money is dispersed is not revealed. From 2009-2010 through 2015-2016, $84 million was paid to American Virtual Academy by Primavera.</w:t>
      </w:r>
      <w:hyperlink w:history="true" w:anchor="_bookmark39">
        <w:r>
          <w:rPr>
            <w:position w:val="8"/>
            <w:sz w:val="16"/>
          </w:rPr>
          <w:t>16</w:t>
        </w:r>
      </w:hyperlink>
    </w:p>
    <w:p>
      <w:pPr>
        <w:pStyle w:val="BodyText"/>
        <w:spacing w:line="276" w:lineRule="auto" w:before="200"/>
        <w:ind w:left="120" w:right="109"/>
        <w:jc w:val="both"/>
        <w:rPr>
          <w:sz w:val="16"/>
        </w:rPr>
      </w:pPr>
      <w:r>
        <w:rPr/>
        <w:t>On</w:t>
      </w:r>
      <w:r>
        <w:rPr>
          <w:spacing w:val="-10"/>
        </w:rPr>
        <w:t> </w:t>
      </w:r>
      <w:r>
        <w:rPr/>
        <w:t>a</w:t>
      </w:r>
      <w:r>
        <w:rPr>
          <w:spacing w:val="-11"/>
        </w:rPr>
        <w:t> </w:t>
      </w:r>
      <w:r>
        <w:rPr/>
        <w:t>per</w:t>
      </w:r>
      <w:r>
        <w:rPr>
          <w:spacing w:val="-12"/>
        </w:rPr>
        <w:t> </w:t>
      </w:r>
      <w:r>
        <w:rPr/>
        <w:t>student</w:t>
      </w:r>
      <w:r>
        <w:rPr>
          <w:spacing w:val="-13"/>
        </w:rPr>
        <w:t> </w:t>
      </w:r>
      <w:r>
        <w:rPr/>
        <w:t>basis,</w:t>
      </w:r>
      <w:r>
        <w:rPr>
          <w:spacing w:val="-14"/>
        </w:rPr>
        <w:t> </w:t>
      </w:r>
      <w:r>
        <w:rPr/>
        <w:t>the</w:t>
      </w:r>
      <w:r>
        <w:rPr>
          <w:spacing w:val="-11"/>
        </w:rPr>
        <w:t> </w:t>
      </w:r>
      <w:r>
        <w:rPr/>
        <w:t>$12.2</w:t>
      </w:r>
      <w:r>
        <w:rPr>
          <w:spacing w:val="-11"/>
        </w:rPr>
        <w:t> </w:t>
      </w:r>
      <w:r>
        <w:rPr/>
        <w:t>million</w:t>
      </w:r>
      <w:r>
        <w:rPr>
          <w:spacing w:val="-13"/>
        </w:rPr>
        <w:t> </w:t>
      </w:r>
      <w:r>
        <w:rPr/>
        <w:t>amounted</w:t>
      </w:r>
      <w:r>
        <w:rPr>
          <w:spacing w:val="-13"/>
        </w:rPr>
        <w:t> </w:t>
      </w:r>
      <w:r>
        <w:rPr/>
        <w:t>to</w:t>
      </w:r>
      <w:r>
        <w:rPr>
          <w:spacing w:val="-10"/>
        </w:rPr>
        <w:t> </w:t>
      </w:r>
      <w:r>
        <w:rPr/>
        <w:t>a</w:t>
      </w:r>
      <w:r>
        <w:rPr>
          <w:spacing w:val="-11"/>
        </w:rPr>
        <w:t> </w:t>
      </w:r>
      <w:r>
        <w:rPr/>
        <w:t>software</w:t>
      </w:r>
      <w:r>
        <w:rPr>
          <w:spacing w:val="-11"/>
        </w:rPr>
        <w:t> </w:t>
      </w:r>
      <w:r>
        <w:rPr/>
        <w:t>service</w:t>
      </w:r>
      <w:r>
        <w:rPr>
          <w:spacing w:val="-13"/>
        </w:rPr>
        <w:t> </w:t>
      </w:r>
      <w:r>
        <w:rPr>
          <w:spacing w:val="1"/>
        </w:rPr>
        <w:t>fee</w:t>
      </w:r>
      <w:r>
        <w:rPr>
          <w:spacing w:val="-13"/>
        </w:rPr>
        <w:t> </w:t>
      </w:r>
      <w:r>
        <w:rPr/>
        <w:t>for</w:t>
      </w:r>
      <w:r>
        <w:rPr>
          <w:spacing w:val="-12"/>
        </w:rPr>
        <w:t> </w:t>
      </w:r>
      <w:r>
        <w:rPr/>
        <w:t>the</w:t>
      </w:r>
      <w:r>
        <w:rPr>
          <w:spacing w:val="-11"/>
        </w:rPr>
        <w:t> </w:t>
      </w:r>
      <w:r>
        <w:rPr/>
        <w:t>5,172 students</w:t>
      </w:r>
      <w:r>
        <w:rPr>
          <w:spacing w:val="-4"/>
        </w:rPr>
        <w:t> </w:t>
      </w:r>
      <w:r>
        <w:rPr/>
        <w:t>of</w:t>
      </w:r>
      <w:r>
        <w:rPr>
          <w:spacing w:val="-4"/>
        </w:rPr>
        <w:t> </w:t>
      </w:r>
      <w:r>
        <w:rPr/>
        <w:t>$2,364</w:t>
      </w:r>
      <w:r>
        <w:rPr>
          <w:spacing w:val="-4"/>
        </w:rPr>
        <w:t> </w:t>
      </w:r>
      <w:r>
        <w:rPr/>
        <w:t>apiece.</w:t>
      </w:r>
      <w:r>
        <w:rPr>
          <w:spacing w:val="-6"/>
        </w:rPr>
        <w:t> </w:t>
      </w:r>
      <w:r>
        <w:rPr/>
        <w:t>The</w:t>
      </w:r>
      <w:r>
        <w:rPr>
          <w:spacing w:val="-4"/>
        </w:rPr>
        <w:t> </w:t>
      </w:r>
      <w:r>
        <w:rPr/>
        <w:t>school</w:t>
      </w:r>
      <w:r>
        <w:rPr>
          <w:spacing w:val="-5"/>
        </w:rPr>
        <w:t> </w:t>
      </w:r>
      <w:r>
        <w:rPr/>
        <w:t>employed</w:t>
      </w:r>
      <w:r>
        <w:rPr>
          <w:spacing w:val="-4"/>
        </w:rPr>
        <w:t> </w:t>
      </w:r>
      <w:r>
        <w:rPr/>
        <w:t>136</w:t>
      </w:r>
      <w:r>
        <w:rPr>
          <w:spacing w:val="-4"/>
        </w:rPr>
        <w:t> </w:t>
      </w:r>
      <w:r>
        <w:rPr/>
        <w:t>teachers</w:t>
      </w:r>
      <w:r>
        <w:rPr>
          <w:spacing w:val="-7"/>
        </w:rPr>
        <w:t> </w:t>
      </w:r>
      <w:r>
        <w:rPr/>
        <w:t>for</w:t>
      </w:r>
      <w:r>
        <w:rPr>
          <w:spacing w:val="-5"/>
        </w:rPr>
        <w:t> </w:t>
      </w:r>
      <w:r>
        <w:rPr/>
        <w:t>student-faculty</w:t>
      </w:r>
      <w:r>
        <w:rPr>
          <w:spacing w:val="-7"/>
        </w:rPr>
        <w:t> </w:t>
      </w:r>
      <w:r>
        <w:rPr/>
        <w:t>ratio</w:t>
      </w:r>
      <w:r>
        <w:rPr>
          <w:spacing w:val="-8"/>
        </w:rPr>
        <w:t> </w:t>
      </w:r>
      <w:r>
        <w:rPr/>
        <w:t>of 38 to 1 (Source: AZ Annual Report). That is twice the student/teacher ratio for public district</w:t>
      </w:r>
      <w:r>
        <w:rPr>
          <w:spacing w:val="-9"/>
        </w:rPr>
        <w:t> </w:t>
      </w:r>
      <w:r>
        <w:rPr/>
        <w:t>schools.</w:t>
      </w:r>
      <w:r>
        <w:rPr>
          <w:spacing w:val="-12"/>
        </w:rPr>
        <w:t> </w:t>
      </w:r>
      <w:r>
        <w:rPr/>
        <w:t>The</w:t>
      </w:r>
      <w:r>
        <w:rPr>
          <w:spacing w:val="-8"/>
        </w:rPr>
        <w:t> </w:t>
      </w:r>
      <w:r>
        <w:rPr/>
        <w:t>pay</w:t>
      </w:r>
      <w:r>
        <w:rPr>
          <w:spacing w:val="-12"/>
        </w:rPr>
        <w:t> </w:t>
      </w:r>
      <w:r>
        <w:rPr/>
        <w:t>to</w:t>
      </w:r>
      <w:r>
        <w:rPr>
          <w:spacing w:val="-8"/>
        </w:rPr>
        <w:t> </w:t>
      </w:r>
      <w:r>
        <w:rPr/>
        <w:t>employed</w:t>
      </w:r>
      <w:r>
        <w:rPr>
          <w:spacing w:val="-8"/>
        </w:rPr>
        <w:t> </w:t>
      </w:r>
      <w:r>
        <w:rPr/>
        <w:t>teachers</w:t>
      </w:r>
      <w:r>
        <w:rPr>
          <w:spacing w:val="-9"/>
        </w:rPr>
        <w:t> </w:t>
      </w:r>
      <w:r>
        <w:rPr/>
        <w:t>(excluding</w:t>
      </w:r>
      <w:r>
        <w:rPr>
          <w:spacing w:val="-10"/>
        </w:rPr>
        <w:t> </w:t>
      </w:r>
      <w:r>
        <w:rPr/>
        <w:t>benefits)</w:t>
      </w:r>
      <w:r>
        <w:rPr>
          <w:spacing w:val="-9"/>
        </w:rPr>
        <w:t> </w:t>
      </w:r>
      <w:r>
        <w:rPr/>
        <w:t>was</w:t>
      </w:r>
      <w:r>
        <w:rPr>
          <w:spacing w:val="-9"/>
        </w:rPr>
        <w:t> </w:t>
      </w:r>
      <w:r>
        <w:rPr/>
        <w:t>$707</w:t>
      </w:r>
      <w:r>
        <w:rPr>
          <w:spacing w:val="-8"/>
        </w:rPr>
        <w:t> </w:t>
      </w:r>
      <w:r>
        <w:rPr/>
        <w:t>per</w:t>
      </w:r>
      <w:r>
        <w:rPr>
          <w:spacing w:val="-10"/>
        </w:rPr>
        <w:t> </w:t>
      </w:r>
      <w:r>
        <w:rPr/>
        <w:t>student or less than one-third of what was paid for the software service fee to a company owned by the founder of the</w:t>
      </w:r>
      <w:r>
        <w:rPr>
          <w:spacing w:val="-23"/>
        </w:rPr>
        <w:t> </w:t>
      </w:r>
      <w:r>
        <w:rPr/>
        <w:t>school.</w:t>
      </w:r>
      <w:hyperlink w:history="true" w:anchor="_bookmark40">
        <w:r>
          <w:rPr>
            <w:position w:val="8"/>
            <w:sz w:val="16"/>
          </w:rPr>
          <w:t>17</w:t>
        </w:r>
      </w:hyperlink>
    </w:p>
    <w:p>
      <w:pPr>
        <w:pStyle w:val="BodyText"/>
        <w:spacing w:line="276" w:lineRule="auto" w:before="198"/>
        <w:ind w:left="120" w:right="107"/>
        <w:jc w:val="both"/>
      </w:pPr>
      <w:r>
        <w:rPr/>
        <w:t>The school received middling academic ratings from the ASBCS. Primavera earned </w:t>
      </w:r>
      <w:r>
        <w:rPr>
          <w:spacing w:val="3"/>
        </w:rPr>
        <w:t>an </w:t>
      </w:r>
      <w:r>
        <w:rPr/>
        <w:t>“Alternative C” on the academic rating system in 2012, 2013 and 2014. Their graduation rate</w:t>
      </w:r>
      <w:r>
        <w:rPr>
          <w:spacing w:val="-16"/>
        </w:rPr>
        <w:t> </w:t>
      </w:r>
      <w:r>
        <w:rPr/>
        <w:t>is</w:t>
      </w:r>
      <w:r>
        <w:rPr>
          <w:spacing w:val="-18"/>
        </w:rPr>
        <w:t> </w:t>
      </w:r>
      <w:r>
        <w:rPr/>
        <w:t>75</w:t>
      </w:r>
      <w:r>
        <w:rPr>
          <w:spacing w:val="-19"/>
        </w:rPr>
        <w:t> </w:t>
      </w:r>
      <w:r>
        <w:rPr/>
        <w:t>out</w:t>
      </w:r>
      <w:r>
        <w:rPr>
          <w:spacing w:val="-17"/>
        </w:rPr>
        <w:t> </w:t>
      </w:r>
      <w:r>
        <w:rPr/>
        <w:t>of</w:t>
      </w:r>
      <w:r>
        <w:rPr>
          <w:spacing w:val="-17"/>
        </w:rPr>
        <w:t> </w:t>
      </w:r>
      <w:r>
        <w:rPr/>
        <w:t>100.</w:t>
      </w:r>
      <w:r>
        <w:rPr>
          <w:spacing w:val="-17"/>
        </w:rPr>
        <w:t> </w:t>
      </w:r>
      <w:r>
        <w:rPr/>
        <w:t>Independent</w:t>
      </w:r>
      <w:r>
        <w:rPr>
          <w:spacing w:val="-17"/>
        </w:rPr>
        <w:t> </w:t>
      </w:r>
      <w:r>
        <w:rPr/>
        <w:t>researchers</w:t>
      </w:r>
      <w:r>
        <w:rPr>
          <w:spacing w:val="-18"/>
        </w:rPr>
        <w:t> </w:t>
      </w:r>
      <w:r>
        <w:rPr/>
        <w:t>have</w:t>
      </w:r>
      <w:r>
        <w:rPr>
          <w:spacing w:val="-19"/>
        </w:rPr>
        <w:t> </w:t>
      </w:r>
      <w:r>
        <w:rPr/>
        <w:t>found</w:t>
      </w:r>
      <w:r>
        <w:rPr>
          <w:spacing w:val="-19"/>
        </w:rPr>
        <w:t> </w:t>
      </w:r>
      <w:r>
        <w:rPr/>
        <w:t>online</w:t>
      </w:r>
      <w:r>
        <w:rPr>
          <w:spacing w:val="-17"/>
        </w:rPr>
        <w:t> </w:t>
      </w:r>
      <w:r>
        <w:rPr/>
        <w:t>charter</w:t>
      </w:r>
      <w:r>
        <w:rPr>
          <w:spacing w:val="-18"/>
        </w:rPr>
        <w:t> </w:t>
      </w:r>
      <w:r>
        <w:rPr/>
        <w:t>programs</w:t>
      </w:r>
      <w:r>
        <w:rPr>
          <w:spacing w:val="-20"/>
        </w:rPr>
        <w:t> </w:t>
      </w:r>
      <w:r>
        <w:rPr/>
        <w:t>overall seriously deficient nationwide and in Arizona (see academic performance section), though because school names are not revealed in those studies, no clear assessment can be made of this particular operation’s academic performance. However, given its size in the online charter environment, it bears</w:t>
      </w:r>
      <w:r>
        <w:rPr>
          <w:spacing w:val="-56"/>
        </w:rPr>
        <w:t> </w:t>
      </w:r>
      <w:r>
        <w:rPr/>
        <w:t>scrutiny.</w:t>
      </w:r>
    </w:p>
    <w:p>
      <w:pPr>
        <w:pStyle w:val="BodyText"/>
        <w:rPr>
          <w:sz w:val="20"/>
        </w:rPr>
      </w:pPr>
    </w:p>
    <w:p>
      <w:pPr>
        <w:pStyle w:val="BodyText"/>
        <w:rPr>
          <w:sz w:val="20"/>
        </w:rPr>
      </w:pPr>
    </w:p>
    <w:p>
      <w:pPr>
        <w:pStyle w:val="BodyText"/>
        <w:spacing w:before="5"/>
        <w:rPr>
          <w:sz w:val="23"/>
        </w:rPr>
      </w:pPr>
      <w:r>
        <w:rPr/>
        <w:pict>
          <v:line style="position:absolute;mso-position-horizontal-relative:page;mso-position-vertical-relative:paragraph;z-index:1672;mso-wrap-distance-left:0;mso-wrap-distance-right:0" from="72pt,15.819872pt" to="216pt,15.819872pt" stroked="true" strokeweight=".72pt" strokecolor="#000000">
            <v:stroke dashstyle="solid"/>
            <w10:wrap type="topAndBottom"/>
          </v:line>
        </w:pict>
      </w:r>
    </w:p>
    <w:p>
      <w:pPr>
        <w:spacing w:line="247" w:lineRule="exact" w:before="50"/>
        <w:ind w:left="120" w:right="0" w:firstLine="0"/>
        <w:jc w:val="both"/>
        <w:rPr>
          <w:rFonts w:ascii="Calibri"/>
          <w:sz w:val="20"/>
        </w:rPr>
      </w:pPr>
      <w:bookmarkStart w:name="_bookmark39" w:id="40"/>
      <w:bookmarkEnd w:id="40"/>
      <w:r>
        <w:rPr/>
      </w:r>
      <w:r>
        <w:rPr>
          <w:rFonts w:ascii="Calibri"/>
          <w:position w:val="7"/>
          <w:sz w:val="13"/>
        </w:rPr>
        <w:t>16 </w:t>
      </w:r>
      <w:r>
        <w:rPr>
          <w:rFonts w:ascii="Calibri"/>
          <w:sz w:val="20"/>
        </w:rPr>
        <w:t>Data comes from annual audits and IRS 990 forms. Also summarized by Hall (2017).</w:t>
      </w:r>
    </w:p>
    <w:p>
      <w:pPr>
        <w:spacing w:before="0"/>
        <w:ind w:left="120" w:right="0" w:firstLine="0"/>
        <w:jc w:val="both"/>
        <w:rPr>
          <w:rFonts w:ascii="Calibri"/>
          <w:sz w:val="20"/>
        </w:rPr>
      </w:pPr>
      <w:bookmarkStart w:name="_bookmark40" w:id="41"/>
      <w:bookmarkEnd w:id="41"/>
      <w:r>
        <w:rPr/>
      </w:r>
      <w:r>
        <w:rPr>
          <w:rFonts w:ascii="Calibri"/>
          <w:position w:val="7"/>
          <w:sz w:val="13"/>
        </w:rPr>
        <w:t>17 </w:t>
      </w:r>
      <w:r>
        <w:rPr>
          <w:rFonts w:ascii="Calibri"/>
          <w:sz w:val="20"/>
        </w:rPr>
        <w:t>Additional data on students and faculty comes from AFRs filed with ADE.</w:t>
      </w:r>
    </w:p>
    <w:p>
      <w:pPr>
        <w:spacing w:after="0"/>
        <w:jc w:val="both"/>
        <w:rPr>
          <w:rFonts w:ascii="Calibri"/>
          <w:sz w:val="20"/>
        </w:rPr>
        <w:sectPr>
          <w:pgSz w:w="12240" w:h="15840"/>
          <w:pgMar w:header="740" w:footer="1002" w:top="940" w:bottom="1200" w:left="1320" w:right="1320"/>
        </w:sectPr>
      </w:pPr>
    </w:p>
    <w:p>
      <w:pPr>
        <w:pStyle w:val="BodyText"/>
        <w:rPr>
          <w:rFonts w:ascii="Calibri"/>
          <w:sz w:val="20"/>
        </w:rPr>
      </w:pPr>
    </w:p>
    <w:p>
      <w:pPr>
        <w:pStyle w:val="BodyText"/>
        <w:spacing w:before="5"/>
        <w:rPr>
          <w:rFonts w:ascii="Calibri"/>
          <w:sz w:val="19"/>
        </w:rPr>
      </w:pPr>
    </w:p>
    <w:p>
      <w:pPr>
        <w:pStyle w:val="BodyText"/>
        <w:spacing w:line="276" w:lineRule="auto"/>
        <w:ind w:left="120" w:right="107"/>
        <w:jc w:val="both"/>
      </w:pPr>
      <w:r>
        <w:rPr/>
        <w:t>Were these large sums for software services appropriate? How strong is the</w:t>
      </w:r>
      <w:r>
        <w:rPr>
          <w:spacing w:val="-42"/>
        </w:rPr>
        <w:t> </w:t>
      </w:r>
      <w:r>
        <w:rPr/>
        <w:t>curriculum? Is the expense justified relative to alternative options? </w:t>
      </w:r>
      <w:r>
        <w:rPr>
          <w:spacing w:val="2"/>
        </w:rPr>
        <w:t>We </w:t>
      </w:r>
      <w:r>
        <w:rPr/>
        <w:t>do know the amount is fifteen times what Mesa public school officials estimate it costs to maintain their on line curriculum and software. Mesa Distance Learning (MDL), an online school in the public Mesa</w:t>
      </w:r>
      <w:r>
        <w:rPr>
          <w:spacing w:val="18"/>
        </w:rPr>
        <w:t> </w:t>
      </w:r>
      <w:r>
        <w:rPr/>
        <w:t>Unified</w:t>
      </w:r>
      <w:r>
        <w:rPr>
          <w:spacing w:val="18"/>
        </w:rPr>
        <w:t> </w:t>
      </w:r>
      <w:r>
        <w:rPr/>
        <w:t>School</w:t>
      </w:r>
      <w:r>
        <w:rPr>
          <w:spacing w:val="15"/>
        </w:rPr>
        <w:t> </w:t>
      </w:r>
      <w:r>
        <w:rPr/>
        <w:t>District’s</w:t>
      </w:r>
      <w:r>
        <w:rPr>
          <w:spacing w:val="17"/>
        </w:rPr>
        <w:t> </w:t>
      </w:r>
      <w:r>
        <w:rPr/>
        <w:t>TAPBI</w:t>
      </w:r>
      <w:r>
        <w:rPr>
          <w:spacing w:val="18"/>
        </w:rPr>
        <w:t> </w:t>
      </w:r>
      <w:r>
        <w:rPr/>
        <w:t>report</w:t>
      </w:r>
      <w:r>
        <w:rPr>
          <w:spacing w:val="15"/>
        </w:rPr>
        <w:t> </w:t>
      </w:r>
      <w:r>
        <w:rPr/>
        <w:t>was</w:t>
      </w:r>
      <w:r>
        <w:rPr>
          <w:spacing w:val="20"/>
        </w:rPr>
        <w:t> </w:t>
      </w:r>
      <w:r>
        <w:rPr/>
        <w:t>queried</w:t>
      </w:r>
      <w:r>
        <w:rPr>
          <w:spacing w:val="18"/>
        </w:rPr>
        <w:t> </w:t>
      </w:r>
      <w:r>
        <w:rPr/>
        <w:t>about</w:t>
      </w:r>
      <w:r>
        <w:rPr>
          <w:spacing w:val="18"/>
        </w:rPr>
        <w:t> </w:t>
      </w:r>
      <w:r>
        <w:rPr/>
        <w:t>these</w:t>
      </w:r>
      <w:r>
        <w:rPr>
          <w:spacing w:val="18"/>
        </w:rPr>
        <w:t> </w:t>
      </w:r>
      <w:r>
        <w:rPr/>
        <w:t>costs.</w:t>
      </w:r>
      <w:r>
        <w:rPr>
          <w:spacing w:val="18"/>
        </w:rPr>
        <w:t> </w:t>
      </w:r>
      <w:r>
        <w:rPr/>
        <w:t>MDL</w:t>
      </w:r>
      <w:r>
        <w:rPr>
          <w:spacing w:val="18"/>
        </w:rPr>
        <w:t> </w:t>
      </w:r>
      <w:r>
        <w:rPr/>
        <w:t>paid</w:t>
      </w:r>
    </w:p>
    <w:p>
      <w:pPr>
        <w:pStyle w:val="BodyText"/>
        <w:spacing w:line="276" w:lineRule="auto"/>
        <w:ind w:left="120" w:right="107"/>
        <w:jc w:val="both"/>
      </w:pPr>
      <w:r>
        <w:rPr/>
        <w:t>$581,000 to develop software for their online program in 1998.</w:t>
      </w:r>
      <w:hyperlink w:history="true" w:anchor="_bookmark42">
        <w:r>
          <w:rPr>
            <w:position w:val="8"/>
            <w:sz w:val="16"/>
          </w:rPr>
          <w:t>18</w:t>
        </w:r>
      </w:hyperlink>
      <w:r>
        <w:rPr>
          <w:position w:val="8"/>
          <w:sz w:val="16"/>
        </w:rPr>
        <w:t> </w:t>
      </w:r>
      <w:r>
        <w:rPr/>
        <w:t>Mesa pays for maintenance, improvements and additions to their online courseware.</w:t>
      </w:r>
    </w:p>
    <w:p>
      <w:pPr>
        <w:pStyle w:val="BodyText"/>
        <w:spacing w:line="276" w:lineRule="auto" w:before="202"/>
        <w:ind w:left="120" w:right="108"/>
        <w:jc w:val="both"/>
      </w:pPr>
      <w:r>
        <w:rPr/>
        <w:t>An additional inquiry was made by Jim Hall of Arizonans for Charter School Accountability. He found out from officials at Mesa Unified School District that it costs about $760,000 a year to maintain their online program and software. The estimate is based on the salaries for content specialists (developers), administrator, and programmer,</w:t>
      </w:r>
      <w:r>
        <w:rPr>
          <w:spacing w:val="-7"/>
        </w:rPr>
        <w:t> </w:t>
      </w:r>
      <w:r>
        <w:rPr/>
        <w:t>and</w:t>
      </w:r>
      <w:r>
        <w:rPr>
          <w:spacing w:val="-6"/>
        </w:rPr>
        <w:t> </w:t>
      </w:r>
      <w:r>
        <w:rPr/>
        <w:t>additional</w:t>
      </w:r>
      <w:r>
        <w:rPr>
          <w:spacing w:val="-7"/>
        </w:rPr>
        <w:t> </w:t>
      </w:r>
      <w:r>
        <w:rPr/>
        <w:t>stipends</w:t>
      </w:r>
      <w:r>
        <w:rPr>
          <w:spacing w:val="-7"/>
        </w:rPr>
        <w:t> </w:t>
      </w:r>
      <w:r>
        <w:rPr/>
        <w:t>paid</w:t>
      </w:r>
      <w:r>
        <w:rPr>
          <w:spacing w:val="-6"/>
        </w:rPr>
        <w:t> </w:t>
      </w:r>
      <w:r>
        <w:rPr/>
        <w:t>to</w:t>
      </w:r>
      <w:r>
        <w:rPr>
          <w:spacing w:val="-6"/>
        </w:rPr>
        <w:t> </w:t>
      </w:r>
      <w:r>
        <w:rPr/>
        <w:t>online</w:t>
      </w:r>
      <w:r>
        <w:rPr>
          <w:spacing w:val="-6"/>
        </w:rPr>
        <w:t> </w:t>
      </w:r>
      <w:r>
        <w:rPr/>
        <w:t>teachers</w:t>
      </w:r>
      <w:r>
        <w:rPr>
          <w:spacing w:val="-10"/>
        </w:rPr>
        <w:t> </w:t>
      </w:r>
      <w:r>
        <w:rPr/>
        <w:t>for</w:t>
      </w:r>
      <w:r>
        <w:rPr>
          <w:spacing w:val="-7"/>
        </w:rPr>
        <w:t> </w:t>
      </w:r>
      <w:r>
        <w:rPr/>
        <w:t>curriculum</w:t>
      </w:r>
      <w:r>
        <w:rPr>
          <w:spacing w:val="-5"/>
        </w:rPr>
        <w:t> </w:t>
      </w:r>
      <w:r>
        <w:rPr/>
        <w:t>development. Mesa Distance Learning offers a complete K-12 curriculum, though primarily serves</w:t>
      </w:r>
      <w:r>
        <w:rPr>
          <w:spacing w:val="-40"/>
        </w:rPr>
        <w:t> </w:t>
      </w:r>
      <w:r>
        <w:rPr/>
        <w:t>high school students (Hall</w:t>
      </w:r>
      <w:r>
        <w:rPr>
          <w:spacing w:val="-32"/>
        </w:rPr>
        <w:t> </w:t>
      </w:r>
      <w:r>
        <w:rPr/>
        <w:t>2017).</w:t>
      </w:r>
    </w:p>
    <w:p>
      <w:pPr>
        <w:pStyle w:val="Heading2"/>
        <w:spacing w:before="202"/>
        <w:jc w:val="both"/>
      </w:pPr>
      <w:bookmarkStart w:name="_bookmark41" w:id="42"/>
      <w:bookmarkEnd w:id="42"/>
      <w:r>
        <w:rPr>
          <w:b w:val="0"/>
        </w:rPr>
      </w:r>
      <w:r>
        <w:rPr>
          <w:color w:val="4F81BC"/>
        </w:rPr>
        <w:t>Exploring Issues Raised by the Arizona Republic five years ago</w:t>
      </w:r>
    </w:p>
    <w:p>
      <w:pPr>
        <w:pStyle w:val="BodyText"/>
        <w:spacing w:before="38"/>
        <w:ind w:left="120"/>
        <w:jc w:val="both"/>
      </w:pPr>
      <w:r>
        <w:rPr/>
        <w:t>The sub-heading for the article read: “Board members, school officials did more than</w:t>
      </w:r>
    </w:p>
    <w:p>
      <w:pPr>
        <w:pStyle w:val="BodyText"/>
        <w:spacing w:before="40"/>
        <w:ind w:left="120"/>
        <w:jc w:val="both"/>
      </w:pPr>
      <w:r>
        <w:rPr/>
        <w:t>$70 million in business” (Ryman 2012):</w:t>
      </w:r>
    </w:p>
    <w:p>
      <w:pPr>
        <w:pStyle w:val="BodyText"/>
        <w:rPr>
          <w:sz w:val="20"/>
        </w:rPr>
      </w:pPr>
    </w:p>
    <w:p>
      <w:pPr>
        <w:pStyle w:val="BodyText"/>
        <w:rPr>
          <w:sz w:val="12"/>
        </w:rPr>
      </w:pPr>
      <w:r>
        <w:rPr/>
        <w:pict>
          <v:line style="position:absolute;mso-position-horizontal-relative:page;mso-position-vertical-relative:paragraph;z-index:1696;mso-wrap-distance-left:0;mso-wrap-distance-right:0" from="113.75pt,9.116161pt" to="498.25pt,9.116161pt" stroked="true" strokeweight=".48pt" strokecolor="#5b9bd4">
            <v:stroke dashstyle="solid"/>
            <w10:wrap type="topAndBottom"/>
          </v:line>
        </w:pict>
      </w:r>
    </w:p>
    <w:p>
      <w:pPr>
        <w:spacing w:line="259" w:lineRule="auto" w:before="139"/>
        <w:ind w:left="1243" w:right="1241" w:firstLine="0"/>
        <w:jc w:val="center"/>
        <w:rPr>
          <w:i/>
          <w:sz w:val="24"/>
        </w:rPr>
      </w:pPr>
      <w:r>
        <w:rPr>
          <w:i/>
          <w:sz w:val="24"/>
        </w:rPr>
        <w:t>“Board members and administrators from more than a dozen state- </w:t>
      </w:r>
      <w:r>
        <w:rPr>
          <w:i/>
          <w:sz w:val="24"/>
        </w:rPr>
        <w:t>funded charter schools are profiting from their affiliations by doing business with schools they oversee”. Arizona Republic Report on Charter School Finances in Arizona</w:t>
      </w:r>
    </w:p>
    <w:p>
      <w:pPr>
        <w:pStyle w:val="BodyText"/>
        <w:spacing w:before="5"/>
        <w:rPr>
          <w:i/>
          <w:sz w:val="14"/>
        </w:rPr>
      </w:pPr>
      <w:r>
        <w:rPr/>
        <w:pict>
          <v:line style="position:absolute;mso-position-horizontal-relative:page;mso-position-vertical-relative:paragraph;z-index:1720;mso-wrap-distance-left:0;mso-wrap-distance-right:0" from="113.75pt,10.500405pt" to="498.25pt,10.500405pt" stroked="true" strokeweight=".48102pt" strokecolor="#5b9bd4">
            <v:stroke dashstyle="solid"/>
            <w10:wrap type="topAndBottom"/>
          </v:line>
        </w:pict>
      </w:r>
    </w:p>
    <w:p>
      <w:pPr>
        <w:pStyle w:val="BodyText"/>
        <w:spacing w:before="10"/>
        <w:rPr>
          <w:i/>
          <w:sz w:val="25"/>
        </w:rPr>
      </w:pPr>
    </w:p>
    <w:p>
      <w:pPr>
        <w:pStyle w:val="BodyText"/>
        <w:spacing w:line="276" w:lineRule="auto" w:before="1"/>
        <w:ind w:left="120" w:right="108"/>
        <w:jc w:val="both"/>
      </w:pPr>
      <w:r>
        <w:rPr/>
        <w:t>The Republic report was thoroughly researched noting that, “</w:t>
      </w:r>
      <w:r>
        <w:rPr>
          <w:i/>
        </w:rPr>
        <w:t>The Arizona Republic </w:t>
      </w:r>
      <w:r>
        <w:rPr/>
        <w:t>reviewed</w:t>
      </w:r>
      <w:r>
        <w:rPr>
          <w:spacing w:val="-5"/>
        </w:rPr>
        <w:t> </w:t>
      </w:r>
      <w:r>
        <w:rPr/>
        <w:t>thousands</w:t>
      </w:r>
      <w:r>
        <w:rPr>
          <w:spacing w:val="-7"/>
        </w:rPr>
        <w:t> </w:t>
      </w:r>
      <w:r>
        <w:rPr/>
        <w:t>of</w:t>
      </w:r>
      <w:r>
        <w:rPr>
          <w:spacing w:val="-5"/>
        </w:rPr>
        <w:t> </w:t>
      </w:r>
      <w:r>
        <w:rPr/>
        <w:t>pages</w:t>
      </w:r>
      <w:r>
        <w:rPr>
          <w:spacing w:val="-5"/>
        </w:rPr>
        <w:t> </w:t>
      </w:r>
      <w:r>
        <w:rPr/>
        <w:t>of</w:t>
      </w:r>
      <w:r>
        <w:rPr>
          <w:spacing w:val="-5"/>
        </w:rPr>
        <w:t> </w:t>
      </w:r>
      <w:r>
        <w:rPr/>
        <w:t>federal</w:t>
      </w:r>
      <w:r>
        <w:rPr>
          <w:spacing w:val="-5"/>
        </w:rPr>
        <w:t> </w:t>
      </w:r>
      <w:r>
        <w:rPr/>
        <w:t>tax</w:t>
      </w:r>
      <w:r>
        <w:rPr>
          <w:spacing w:val="-7"/>
        </w:rPr>
        <w:t> </w:t>
      </w:r>
      <w:r>
        <w:rPr/>
        <w:t>returns,</w:t>
      </w:r>
      <w:r>
        <w:rPr>
          <w:spacing w:val="-5"/>
        </w:rPr>
        <w:t> </w:t>
      </w:r>
      <w:r>
        <w:rPr/>
        <w:t>audits,</w:t>
      </w:r>
      <w:r>
        <w:rPr>
          <w:spacing w:val="-5"/>
        </w:rPr>
        <w:t> </w:t>
      </w:r>
      <w:r>
        <w:rPr/>
        <w:t>corporate</w:t>
      </w:r>
      <w:r>
        <w:rPr>
          <w:spacing w:val="-5"/>
        </w:rPr>
        <w:t> </w:t>
      </w:r>
      <w:r>
        <w:rPr/>
        <w:t>filings,</w:t>
      </w:r>
      <w:r>
        <w:rPr>
          <w:spacing w:val="-5"/>
        </w:rPr>
        <w:t> </w:t>
      </w:r>
      <w:r>
        <w:rPr/>
        <w:t>and</w:t>
      </w:r>
      <w:r>
        <w:rPr>
          <w:spacing w:val="-5"/>
        </w:rPr>
        <w:t> </w:t>
      </w:r>
      <w:r>
        <w:rPr/>
        <w:t>records filed with the ASBCS. The analysis looked at the 50 largest non-profit charter schools in the state as well as schools with assets of more than $10 million. For-profit schools</w:t>
      </w:r>
      <w:r>
        <w:rPr>
          <w:spacing w:val="-33"/>
        </w:rPr>
        <w:t> </w:t>
      </w:r>
      <w:r>
        <w:rPr/>
        <w:t>were not analyzed because their tax records are not public”. One School that stood out in the report</w:t>
      </w:r>
      <w:r>
        <w:rPr>
          <w:spacing w:val="-12"/>
        </w:rPr>
        <w:t> </w:t>
      </w:r>
      <w:r>
        <w:rPr/>
        <w:t>was</w:t>
      </w:r>
      <w:r>
        <w:rPr>
          <w:spacing w:val="-12"/>
        </w:rPr>
        <w:t> </w:t>
      </w:r>
      <w:r>
        <w:rPr/>
        <w:t>used</w:t>
      </w:r>
      <w:r>
        <w:rPr>
          <w:spacing w:val="-13"/>
        </w:rPr>
        <w:t> </w:t>
      </w:r>
      <w:r>
        <w:rPr/>
        <w:t>as</w:t>
      </w:r>
      <w:r>
        <w:rPr>
          <w:spacing w:val="-14"/>
        </w:rPr>
        <w:t> </w:t>
      </w:r>
      <w:r>
        <w:rPr/>
        <w:t>an</w:t>
      </w:r>
      <w:r>
        <w:rPr>
          <w:spacing w:val="-11"/>
        </w:rPr>
        <w:t> </w:t>
      </w:r>
      <w:r>
        <w:rPr/>
        <w:t>example</w:t>
      </w:r>
      <w:r>
        <w:rPr>
          <w:spacing w:val="-14"/>
        </w:rPr>
        <w:t> </w:t>
      </w:r>
      <w:r>
        <w:rPr/>
        <w:t>for</w:t>
      </w:r>
      <w:r>
        <w:rPr>
          <w:spacing w:val="-12"/>
        </w:rPr>
        <w:t> </w:t>
      </w:r>
      <w:r>
        <w:rPr/>
        <w:t>the</w:t>
      </w:r>
      <w:r>
        <w:rPr>
          <w:spacing w:val="-11"/>
        </w:rPr>
        <w:t> </w:t>
      </w:r>
      <w:r>
        <w:rPr/>
        <w:t>segment</w:t>
      </w:r>
      <w:r>
        <w:rPr>
          <w:spacing w:val="-11"/>
        </w:rPr>
        <w:t> </w:t>
      </w:r>
      <w:r>
        <w:rPr/>
        <w:t>titled</w:t>
      </w:r>
      <w:r>
        <w:rPr>
          <w:spacing w:val="-11"/>
        </w:rPr>
        <w:t> </w:t>
      </w:r>
      <w:r>
        <w:rPr/>
        <w:t>“Family</w:t>
      </w:r>
      <w:r>
        <w:rPr>
          <w:spacing w:val="-14"/>
        </w:rPr>
        <w:t> </w:t>
      </w:r>
      <w:r>
        <w:rPr/>
        <w:t>ties.”</w:t>
      </w:r>
      <w:r>
        <w:rPr>
          <w:spacing w:val="-14"/>
        </w:rPr>
        <w:t> </w:t>
      </w:r>
      <w:r>
        <w:rPr/>
        <w:t>The</w:t>
      </w:r>
      <w:r>
        <w:rPr>
          <w:spacing w:val="-11"/>
        </w:rPr>
        <w:t> </w:t>
      </w:r>
      <w:r>
        <w:rPr/>
        <w:t>report</w:t>
      </w:r>
      <w:r>
        <w:rPr>
          <w:spacing w:val="-12"/>
        </w:rPr>
        <w:t> </w:t>
      </w:r>
      <w:r>
        <w:rPr/>
        <w:t>is</w:t>
      </w:r>
      <w:r>
        <w:rPr>
          <w:spacing w:val="-12"/>
        </w:rPr>
        <w:t> </w:t>
      </w:r>
      <w:r>
        <w:rPr/>
        <w:t>reprinted here with</w:t>
      </w:r>
      <w:r>
        <w:rPr>
          <w:spacing w:val="-22"/>
        </w:rPr>
        <w:t> </w:t>
      </w:r>
      <w:r>
        <w:rPr/>
        <w:t>permission.</w:t>
      </w:r>
    </w:p>
    <w:p>
      <w:pPr>
        <w:spacing w:before="195"/>
        <w:ind w:left="120" w:right="0" w:firstLine="0"/>
        <w:jc w:val="both"/>
        <w:rPr>
          <w:i/>
          <w:sz w:val="24"/>
        </w:rPr>
      </w:pPr>
      <w:r>
        <w:rPr>
          <w:i/>
          <w:color w:val="365F91"/>
          <w:sz w:val="24"/>
        </w:rPr>
        <w:t>Family Ties</w:t>
      </w:r>
    </w:p>
    <w:p>
      <w:pPr>
        <w:pStyle w:val="BodyText"/>
        <w:spacing w:before="10"/>
        <w:rPr>
          <w:i/>
          <w:sz w:val="27"/>
        </w:rPr>
      </w:pPr>
    </w:p>
    <w:p>
      <w:pPr>
        <w:pStyle w:val="BodyText"/>
        <w:spacing w:before="1"/>
        <w:ind w:left="165" w:right="442"/>
        <w:jc w:val="center"/>
      </w:pPr>
      <w:r>
        <w:rPr/>
        <w:t>“The Gaddie family reflects how family ties can run deep at charter schools.</w:t>
      </w:r>
    </w:p>
    <w:p>
      <w:pPr>
        <w:pStyle w:val="BodyText"/>
        <w:spacing w:before="5"/>
      </w:pPr>
    </w:p>
    <w:p>
      <w:pPr>
        <w:pStyle w:val="BodyText"/>
        <w:ind w:left="660" w:right="1006" w:hanging="46"/>
        <w:jc w:val="center"/>
      </w:pPr>
      <w:r>
        <w:rPr/>
        <w:t>Happy Valley School in Peoria has a three-member non-profit board made up entirely of Gaddie family members, according to the most recent</w:t>
      </w:r>
      <w:r>
        <w:rPr>
          <w:spacing w:val="-31"/>
        </w:rPr>
        <w:t> </w:t>
      </w:r>
      <w:r>
        <w:rPr/>
        <w:t>federal</w:t>
      </w:r>
    </w:p>
    <w:p>
      <w:pPr>
        <w:pStyle w:val="BodyText"/>
        <w:spacing w:before="9"/>
      </w:pPr>
      <w:r>
        <w:rPr/>
        <w:pict>
          <v:line style="position:absolute;mso-position-horizontal-relative:page;mso-position-vertical-relative:paragraph;z-index:1744;mso-wrap-distance-left:0;mso-wrap-distance-right:0" from="72pt,16.59429pt" to="216pt,16.59429pt" stroked="true" strokeweight=".72pt" strokecolor="#000000">
            <v:stroke dashstyle="solid"/>
            <w10:wrap type="topAndBottom"/>
          </v:line>
        </w:pict>
      </w:r>
    </w:p>
    <w:p>
      <w:pPr>
        <w:spacing w:before="55"/>
        <w:ind w:left="120" w:right="0" w:firstLine="0"/>
        <w:jc w:val="both"/>
        <w:rPr>
          <w:rFonts w:ascii="Calibri"/>
          <w:sz w:val="22"/>
        </w:rPr>
      </w:pPr>
      <w:bookmarkStart w:name="_bookmark42" w:id="43"/>
      <w:bookmarkEnd w:id="43"/>
      <w:r>
        <w:rPr/>
      </w:r>
      <w:r>
        <w:rPr>
          <w:rFonts w:ascii="Calibri"/>
          <w:position w:val="7"/>
          <w:sz w:val="13"/>
        </w:rPr>
        <w:t>18 </w:t>
      </w:r>
      <w:r>
        <w:rPr>
          <w:rFonts w:ascii="Calibri"/>
          <w:sz w:val="22"/>
        </w:rPr>
        <w:t>TAPBI Auditor general Report 2007 p. 23 at: https:/</w:t>
      </w:r>
      <w:hyperlink r:id="rId35">
        <w:r>
          <w:rPr>
            <w:rFonts w:ascii="Calibri"/>
            <w:sz w:val="22"/>
          </w:rPr>
          <w:t>/www.azauditor.gov/sites/default/files/TAPBI.pdf</w:t>
        </w:r>
      </w:hyperlink>
    </w:p>
    <w:p>
      <w:pPr>
        <w:spacing w:after="0"/>
        <w:jc w:val="both"/>
        <w:rPr>
          <w:rFonts w:ascii="Calibri"/>
          <w:sz w:val="22"/>
        </w:rPr>
        <w:sectPr>
          <w:footerReference w:type="default" r:id="rId34"/>
          <w:pgSz w:w="12240" w:h="15840"/>
          <w:pgMar w:footer="1002" w:header="740" w:top="940" w:bottom="1200" w:left="1320" w:right="1320"/>
        </w:sectPr>
      </w:pPr>
    </w:p>
    <w:p>
      <w:pPr>
        <w:pStyle w:val="BodyText"/>
        <w:rPr>
          <w:rFonts w:ascii="Calibri"/>
          <w:sz w:val="20"/>
        </w:rPr>
      </w:pPr>
    </w:p>
    <w:p>
      <w:pPr>
        <w:pStyle w:val="BodyText"/>
        <w:spacing w:before="232"/>
        <w:ind w:left="640" w:right="835"/>
        <w:jc w:val="both"/>
      </w:pPr>
      <w:r>
        <w:rPr/>
        <w:t>(Form 990) tax return. Ernest Gaddie is president. His wife, Delite Gaddie, is secretary, and their son, Glen Gaddie, is a board member. Glen also serves on the school's governing board along with three other people.</w:t>
      </w:r>
    </w:p>
    <w:p>
      <w:pPr>
        <w:pStyle w:val="BodyText"/>
        <w:spacing w:before="4"/>
      </w:pPr>
    </w:p>
    <w:p>
      <w:pPr>
        <w:pStyle w:val="BodyText"/>
        <w:ind w:left="640" w:right="828"/>
        <w:jc w:val="both"/>
      </w:pPr>
      <w:r>
        <w:rPr/>
        <w:t>For several years, the school has contracted with Gaddie Curriculum &amp; Education Consulting, a business owned by Ernest and Delite Gaddie. The company</w:t>
      </w:r>
      <w:r>
        <w:rPr>
          <w:spacing w:val="-22"/>
        </w:rPr>
        <w:t> </w:t>
      </w:r>
      <w:r>
        <w:rPr/>
        <w:t>provides</w:t>
      </w:r>
      <w:r>
        <w:rPr>
          <w:spacing w:val="-21"/>
        </w:rPr>
        <w:t> </w:t>
      </w:r>
      <w:r>
        <w:rPr/>
        <w:t>business</w:t>
      </w:r>
      <w:r>
        <w:rPr>
          <w:spacing w:val="-21"/>
        </w:rPr>
        <w:t> </w:t>
      </w:r>
      <w:r>
        <w:rPr/>
        <w:t>consulting,</w:t>
      </w:r>
      <w:r>
        <w:rPr>
          <w:spacing w:val="-20"/>
        </w:rPr>
        <w:t> </w:t>
      </w:r>
      <w:r>
        <w:rPr/>
        <w:t>maintenance</w:t>
      </w:r>
      <w:r>
        <w:rPr>
          <w:spacing w:val="-20"/>
        </w:rPr>
        <w:t> </w:t>
      </w:r>
      <w:r>
        <w:rPr/>
        <w:t>and</w:t>
      </w:r>
      <w:r>
        <w:rPr>
          <w:spacing w:val="-20"/>
        </w:rPr>
        <w:t> </w:t>
      </w:r>
      <w:r>
        <w:rPr/>
        <w:t>operations</w:t>
      </w:r>
      <w:r>
        <w:rPr>
          <w:spacing w:val="-22"/>
        </w:rPr>
        <w:t> </w:t>
      </w:r>
      <w:r>
        <w:rPr/>
        <w:t>services and licenses curriculum to the school, according to tax returns and audits. Ernest and Delite created the curriculum while at a private, back-to- basics school they ran in Mesa in the 1970s. They own the copyrights and update the materials from time to time, according to an</w:t>
      </w:r>
      <w:r>
        <w:rPr>
          <w:spacing w:val="-22"/>
        </w:rPr>
        <w:t> </w:t>
      </w:r>
      <w:r>
        <w:rPr/>
        <w:t>audit.</w:t>
      </w:r>
    </w:p>
    <w:p>
      <w:pPr>
        <w:pStyle w:val="BodyText"/>
        <w:spacing w:before="2"/>
      </w:pPr>
    </w:p>
    <w:p>
      <w:pPr>
        <w:pStyle w:val="BodyText"/>
        <w:ind w:left="640" w:right="829"/>
        <w:jc w:val="both"/>
      </w:pPr>
      <w:r>
        <w:rPr/>
        <w:t>From fiscal 2007 through 2011, Gaddie Curriculum was paid $475,433 for various services, tax returns say. In 2011, the non-profit also began contracting</w:t>
      </w:r>
      <w:r>
        <w:rPr>
          <w:spacing w:val="-11"/>
        </w:rPr>
        <w:t> </w:t>
      </w:r>
      <w:r>
        <w:rPr/>
        <w:t>with</w:t>
      </w:r>
      <w:r>
        <w:rPr>
          <w:spacing w:val="-9"/>
        </w:rPr>
        <w:t> </w:t>
      </w:r>
      <w:r>
        <w:rPr/>
        <w:t>a</w:t>
      </w:r>
      <w:r>
        <w:rPr>
          <w:spacing w:val="-9"/>
        </w:rPr>
        <w:t> </w:t>
      </w:r>
      <w:r>
        <w:rPr/>
        <w:t>landscaping</w:t>
      </w:r>
      <w:r>
        <w:rPr>
          <w:spacing w:val="-10"/>
        </w:rPr>
        <w:t> </w:t>
      </w:r>
      <w:r>
        <w:rPr/>
        <w:t>service</w:t>
      </w:r>
      <w:r>
        <w:rPr>
          <w:spacing w:val="-10"/>
        </w:rPr>
        <w:t> </w:t>
      </w:r>
      <w:r>
        <w:rPr/>
        <w:t>owned</w:t>
      </w:r>
      <w:r>
        <w:rPr>
          <w:spacing w:val="-9"/>
        </w:rPr>
        <w:t> </w:t>
      </w:r>
      <w:r>
        <w:rPr/>
        <w:t>by</w:t>
      </w:r>
      <w:r>
        <w:rPr>
          <w:spacing w:val="-12"/>
        </w:rPr>
        <w:t> </w:t>
      </w:r>
      <w:r>
        <w:rPr/>
        <w:t>the</w:t>
      </w:r>
      <w:r>
        <w:rPr>
          <w:spacing w:val="-9"/>
        </w:rPr>
        <w:t> </w:t>
      </w:r>
      <w:r>
        <w:rPr/>
        <w:t>son</w:t>
      </w:r>
      <w:r>
        <w:rPr>
          <w:spacing w:val="-9"/>
        </w:rPr>
        <w:t> </w:t>
      </w:r>
      <w:r>
        <w:rPr/>
        <w:t>and</w:t>
      </w:r>
      <w:r>
        <w:rPr>
          <w:spacing w:val="-9"/>
        </w:rPr>
        <w:t> </w:t>
      </w:r>
      <w:r>
        <w:rPr/>
        <w:t>grandson</w:t>
      </w:r>
      <w:r>
        <w:rPr>
          <w:spacing w:val="-9"/>
        </w:rPr>
        <w:t> </w:t>
      </w:r>
      <w:r>
        <w:rPr/>
        <w:t>of</w:t>
      </w:r>
      <w:r>
        <w:rPr>
          <w:spacing w:val="-10"/>
        </w:rPr>
        <w:t> </w:t>
      </w:r>
      <w:r>
        <w:rPr/>
        <w:t>the board members, paying $21,600 that</w:t>
      </w:r>
      <w:r>
        <w:rPr>
          <w:spacing w:val="-16"/>
        </w:rPr>
        <w:t> </w:t>
      </w:r>
      <w:r>
        <w:rPr/>
        <w:t>year.</w:t>
      </w:r>
    </w:p>
    <w:p>
      <w:pPr>
        <w:pStyle w:val="BodyText"/>
        <w:spacing w:before="2"/>
      </w:pPr>
    </w:p>
    <w:p>
      <w:pPr>
        <w:pStyle w:val="BodyText"/>
        <w:ind w:left="640" w:right="830"/>
        <w:jc w:val="both"/>
      </w:pPr>
      <w:r>
        <w:rPr/>
        <w:t>The school has been exempt from purchasing laws since 2004, according to the ASBCS, but the school has its own procurement policy. Three oral bids are required for purchases of more than $5,000 and three written bids for purchases of more than $15,000. Purchases of more than $50,000 require three sealed bids.</w:t>
      </w:r>
    </w:p>
    <w:p>
      <w:pPr>
        <w:pStyle w:val="BodyText"/>
        <w:spacing w:before="2"/>
      </w:pPr>
    </w:p>
    <w:p>
      <w:pPr>
        <w:pStyle w:val="BodyText"/>
        <w:ind w:left="640" w:right="837"/>
        <w:jc w:val="both"/>
      </w:pPr>
      <w:r>
        <w:rPr/>
        <w:t>In 2010, the school's auditor in the annual audit began questioning the contracted services with the Gaddies' company, and said the value of the agreements</w:t>
      </w:r>
      <w:r>
        <w:rPr>
          <w:spacing w:val="-6"/>
        </w:rPr>
        <w:t> </w:t>
      </w:r>
      <w:r>
        <w:rPr/>
        <w:t>"were</w:t>
      </w:r>
      <w:r>
        <w:rPr>
          <w:spacing w:val="-7"/>
        </w:rPr>
        <w:t> </w:t>
      </w:r>
      <w:r>
        <w:rPr/>
        <w:t>not</w:t>
      </w:r>
      <w:r>
        <w:rPr>
          <w:spacing w:val="-9"/>
        </w:rPr>
        <w:t> </w:t>
      </w:r>
      <w:r>
        <w:rPr/>
        <w:t>supported</w:t>
      </w:r>
      <w:r>
        <w:rPr>
          <w:spacing w:val="-8"/>
        </w:rPr>
        <w:t> </w:t>
      </w:r>
      <w:r>
        <w:rPr/>
        <w:t>by</w:t>
      </w:r>
      <w:r>
        <w:rPr>
          <w:spacing w:val="-9"/>
        </w:rPr>
        <w:t> </w:t>
      </w:r>
      <w:r>
        <w:rPr/>
        <w:t>documentation</w:t>
      </w:r>
      <w:r>
        <w:rPr>
          <w:spacing w:val="-8"/>
        </w:rPr>
        <w:t> </w:t>
      </w:r>
      <w:r>
        <w:rPr/>
        <w:t>that</w:t>
      </w:r>
      <w:r>
        <w:rPr>
          <w:spacing w:val="-6"/>
        </w:rPr>
        <w:t> </w:t>
      </w:r>
      <w:r>
        <w:rPr/>
        <w:t>provides</w:t>
      </w:r>
      <w:r>
        <w:rPr>
          <w:spacing w:val="-7"/>
        </w:rPr>
        <w:t> </w:t>
      </w:r>
      <w:r>
        <w:rPr/>
        <w:t>the</w:t>
      </w:r>
      <w:r>
        <w:rPr>
          <w:spacing w:val="-8"/>
        </w:rPr>
        <w:t> </w:t>
      </w:r>
      <w:r>
        <w:rPr/>
        <w:t>method and/or rationale for how such fees for services were determined to be at fair value."</w:t>
      </w:r>
      <w:r>
        <w:rPr>
          <w:spacing w:val="-14"/>
        </w:rPr>
        <w:t> </w:t>
      </w:r>
      <w:r>
        <w:rPr/>
        <w:t>The</w:t>
      </w:r>
      <w:r>
        <w:rPr>
          <w:spacing w:val="-14"/>
        </w:rPr>
        <w:t> </w:t>
      </w:r>
      <w:r>
        <w:rPr/>
        <w:t>auditor</w:t>
      </w:r>
      <w:r>
        <w:rPr>
          <w:spacing w:val="-13"/>
        </w:rPr>
        <w:t> </w:t>
      </w:r>
      <w:r>
        <w:rPr/>
        <w:t>recommended</w:t>
      </w:r>
      <w:r>
        <w:rPr>
          <w:spacing w:val="-12"/>
        </w:rPr>
        <w:t> </w:t>
      </w:r>
      <w:r>
        <w:rPr/>
        <w:t>that</w:t>
      </w:r>
      <w:r>
        <w:rPr>
          <w:spacing w:val="-14"/>
        </w:rPr>
        <w:t> </w:t>
      </w:r>
      <w:r>
        <w:rPr/>
        <w:t>the</w:t>
      </w:r>
      <w:r>
        <w:rPr>
          <w:spacing w:val="-14"/>
        </w:rPr>
        <w:t> </w:t>
      </w:r>
      <w:r>
        <w:rPr/>
        <w:t>school</w:t>
      </w:r>
      <w:r>
        <w:rPr>
          <w:spacing w:val="-15"/>
        </w:rPr>
        <w:t> </w:t>
      </w:r>
      <w:r>
        <w:rPr/>
        <w:t>document</w:t>
      </w:r>
      <w:r>
        <w:rPr>
          <w:spacing w:val="-14"/>
        </w:rPr>
        <w:t> </w:t>
      </w:r>
      <w:r>
        <w:rPr/>
        <w:t>that</w:t>
      </w:r>
      <w:r>
        <w:rPr>
          <w:spacing w:val="-14"/>
        </w:rPr>
        <w:t> </w:t>
      </w:r>
      <w:r>
        <w:rPr/>
        <w:t>the</w:t>
      </w:r>
      <w:r>
        <w:rPr>
          <w:spacing w:val="-14"/>
        </w:rPr>
        <w:t> </w:t>
      </w:r>
      <w:r>
        <w:rPr/>
        <w:t>amounts paid were at fair value. School officials said they would try to find out the current costs of curriculum sold to similar</w:t>
      </w:r>
      <w:r>
        <w:rPr>
          <w:spacing w:val="-39"/>
        </w:rPr>
        <w:t> </w:t>
      </w:r>
      <w:r>
        <w:rPr/>
        <w:t>schools.</w:t>
      </w:r>
    </w:p>
    <w:p>
      <w:pPr>
        <w:pStyle w:val="BodyText"/>
        <w:spacing w:before="5"/>
      </w:pPr>
    </w:p>
    <w:p>
      <w:pPr>
        <w:pStyle w:val="BodyText"/>
        <w:ind w:left="640" w:right="831"/>
        <w:jc w:val="both"/>
      </w:pPr>
      <w:r>
        <w:rPr/>
        <w:t>The 2011 audit expressed the same concerns. Glen Gaddie told auditors he would</w:t>
      </w:r>
      <w:r>
        <w:rPr>
          <w:spacing w:val="-8"/>
        </w:rPr>
        <w:t> </w:t>
      </w:r>
      <w:r>
        <w:rPr/>
        <w:t>provide</w:t>
      </w:r>
      <w:r>
        <w:rPr>
          <w:spacing w:val="-8"/>
        </w:rPr>
        <w:t> </w:t>
      </w:r>
      <w:r>
        <w:rPr/>
        <w:t>documentation.</w:t>
      </w:r>
      <w:r>
        <w:rPr>
          <w:spacing w:val="-13"/>
        </w:rPr>
        <w:t> </w:t>
      </w:r>
      <w:r>
        <w:rPr/>
        <w:t>The</w:t>
      </w:r>
      <w:r>
        <w:rPr>
          <w:spacing w:val="-10"/>
        </w:rPr>
        <w:t> </w:t>
      </w:r>
      <w:r>
        <w:rPr/>
        <w:t>school</w:t>
      </w:r>
      <w:r>
        <w:rPr>
          <w:spacing w:val="-12"/>
        </w:rPr>
        <w:t> </w:t>
      </w:r>
      <w:r>
        <w:rPr/>
        <w:t>declined</w:t>
      </w:r>
      <w:r>
        <w:rPr>
          <w:spacing w:val="-10"/>
        </w:rPr>
        <w:t> </w:t>
      </w:r>
      <w:r>
        <w:rPr/>
        <w:t>to</w:t>
      </w:r>
      <w:r>
        <w:rPr>
          <w:spacing w:val="-10"/>
        </w:rPr>
        <w:t> </w:t>
      </w:r>
      <w:r>
        <w:rPr/>
        <w:t>provide</w:t>
      </w:r>
      <w:r>
        <w:rPr>
          <w:spacing w:val="-10"/>
        </w:rPr>
        <w:t> </w:t>
      </w:r>
      <w:r>
        <w:rPr/>
        <w:t>documentation about the fair value of the agreements to </w:t>
      </w:r>
      <w:r>
        <w:rPr>
          <w:i/>
        </w:rPr>
        <w:t>The Arizona Republic, </w:t>
      </w:r>
      <w:r>
        <w:rPr/>
        <w:t>and the Gaddies declined</w:t>
      </w:r>
      <w:r>
        <w:rPr>
          <w:spacing w:val="-30"/>
        </w:rPr>
        <w:t> </w:t>
      </w:r>
      <w:r>
        <w:rPr/>
        <w:t>comment.</w:t>
      </w:r>
    </w:p>
    <w:p>
      <w:pPr>
        <w:pStyle w:val="BodyText"/>
        <w:spacing w:before="4"/>
      </w:pPr>
    </w:p>
    <w:p>
      <w:pPr>
        <w:pStyle w:val="BodyText"/>
        <w:ind w:left="640" w:right="837"/>
        <w:jc w:val="both"/>
      </w:pPr>
      <w:r>
        <w:rPr/>
        <w:t>The audit findings in fiscal 2011 did not rise to the level of requiring a corrective-action</w:t>
      </w:r>
      <w:r>
        <w:rPr>
          <w:spacing w:val="-5"/>
        </w:rPr>
        <w:t> </w:t>
      </w:r>
      <w:r>
        <w:rPr/>
        <w:t>plan</w:t>
      </w:r>
      <w:r>
        <w:rPr>
          <w:spacing w:val="-7"/>
        </w:rPr>
        <w:t> </w:t>
      </w:r>
      <w:r>
        <w:rPr/>
        <w:t>by</w:t>
      </w:r>
      <w:r>
        <w:rPr>
          <w:spacing w:val="-8"/>
        </w:rPr>
        <w:t> </w:t>
      </w:r>
      <w:r>
        <w:rPr/>
        <w:t>the</w:t>
      </w:r>
      <w:r>
        <w:rPr>
          <w:spacing w:val="-5"/>
        </w:rPr>
        <w:t> </w:t>
      </w:r>
      <w:r>
        <w:rPr/>
        <w:t>state</w:t>
      </w:r>
      <w:r>
        <w:rPr>
          <w:spacing w:val="-5"/>
        </w:rPr>
        <w:t> </w:t>
      </w:r>
      <w:r>
        <w:rPr/>
        <w:t>Board</w:t>
      </w:r>
      <w:r>
        <w:rPr>
          <w:spacing w:val="-8"/>
        </w:rPr>
        <w:t> </w:t>
      </w:r>
      <w:r>
        <w:rPr/>
        <w:t>for</w:t>
      </w:r>
      <w:r>
        <w:rPr>
          <w:spacing w:val="-9"/>
        </w:rPr>
        <w:t> </w:t>
      </w:r>
      <w:r>
        <w:rPr/>
        <w:t>Charter</w:t>
      </w:r>
      <w:r>
        <w:rPr>
          <w:spacing w:val="-6"/>
        </w:rPr>
        <w:t> </w:t>
      </w:r>
      <w:r>
        <w:rPr/>
        <w:t>Schools,</w:t>
      </w:r>
      <w:r>
        <w:rPr>
          <w:spacing w:val="-6"/>
        </w:rPr>
        <w:t> </w:t>
      </w:r>
      <w:r>
        <w:rPr/>
        <w:t>said</w:t>
      </w:r>
      <w:r>
        <w:rPr>
          <w:spacing w:val="-8"/>
        </w:rPr>
        <w:t> </w:t>
      </w:r>
      <w:r>
        <w:rPr/>
        <w:t>Rowe,</w:t>
      </w:r>
      <w:r>
        <w:rPr>
          <w:spacing w:val="-5"/>
        </w:rPr>
        <w:t> </w:t>
      </w:r>
      <w:r>
        <w:rPr/>
        <w:t>the board's executive director. A corrective-action plan would have required the school to make changes to correct the issue by a specified</w:t>
      </w:r>
      <w:r>
        <w:rPr>
          <w:spacing w:val="-46"/>
        </w:rPr>
        <w:t> </w:t>
      </w:r>
      <w:r>
        <w:rPr/>
        <w:t>date.”</w:t>
      </w:r>
    </w:p>
    <w:p>
      <w:pPr>
        <w:pStyle w:val="BodyText"/>
        <w:spacing w:before="11"/>
        <w:rPr>
          <w:sz w:val="23"/>
        </w:rPr>
      </w:pPr>
    </w:p>
    <w:p>
      <w:pPr>
        <w:spacing w:before="0"/>
        <w:ind w:left="100" w:right="0" w:firstLine="0"/>
        <w:jc w:val="both"/>
        <w:rPr>
          <w:i/>
          <w:sz w:val="24"/>
        </w:rPr>
      </w:pPr>
      <w:r>
        <w:rPr>
          <w:i/>
          <w:color w:val="365F91"/>
          <w:sz w:val="24"/>
        </w:rPr>
        <w:t>What has changed since 2012?</w:t>
      </w:r>
    </w:p>
    <w:p>
      <w:pPr>
        <w:pStyle w:val="BodyText"/>
        <w:spacing w:line="276" w:lineRule="auto" w:before="45"/>
        <w:ind w:left="100" w:right="107"/>
        <w:jc w:val="both"/>
      </w:pPr>
      <w:r>
        <w:rPr/>
        <w:t>This school’s transactional behavior regarding related-parties has continued and </w:t>
      </w:r>
      <w:r>
        <w:rPr>
          <w:i/>
        </w:rPr>
        <w:t>is not </w:t>
      </w:r>
      <w:r>
        <w:rPr>
          <w:i/>
        </w:rPr>
        <w:t>dissimilar</w:t>
      </w:r>
      <w:r>
        <w:rPr>
          <w:i/>
          <w:spacing w:val="-5"/>
        </w:rPr>
        <w:t> </w:t>
      </w:r>
      <w:r>
        <w:rPr/>
        <w:t>from</w:t>
      </w:r>
      <w:r>
        <w:rPr>
          <w:spacing w:val="-5"/>
        </w:rPr>
        <w:t> </w:t>
      </w:r>
      <w:r>
        <w:rPr/>
        <w:t>many</w:t>
      </w:r>
      <w:r>
        <w:rPr>
          <w:spacing w:val="-7"/>
        </w:rPr>
        <w:t> </w:t>
      </w:r>
      <w:r>
        <w:rPr/>
        <w:t>other</w:t>
      </w:r>
      <w:r>
        <w:rPr>
          <w:spacing w:val="-5"/>
        </w:rPr>
        <w:t> </w:t>
      </w:r>
      <w:r>
        <w:rPr/>
        <w:t>charters.</w:t>
      </w:r>
      <w:r>
        <w:rPr>
          <w:spacing w:val="-7"/>
        </w:rPr>
        <w:t> </w:t>
      </w:r>
      <w:r>
        <w:rPr/>
        <w:t>The</w:t>
      </w:r>
      <w:r>
        <w:rPr>
          <w:spacing w:val="-4"/>
        </w:rPr>
        <w:t> </w:t>
      </w:r>
      <w:r>
        <w:rPr/>
        <w:t>school</w:t>
      </w:r>
      <w:r>
        <w:rPr>
          <w:spacing w:val="-5"/>
        </w:rPr>
        <w:t> </w:t>
      </w:r>
      <w:r>
        <w:rPr/>
        <w:t>was</w:t>
      </w:r>
      <w:r>
        <w:rPr>
          <w:spacing w:val="-4"/>
        </w:rPr>
        <w:t> </w:t>
      </w:r>
      <w:r>
        <w:rPr/>
        <w:t>selected</w:t>
      </w:r>
      <w:r>
        <w:rPr>
          <w:spacing w:val="-6"/>
        </w:rPr>
        <w:t> </w:t>
      </w:r>
      <w:r>
        <w:rPr/>
        <w:t>because</w:t>
      </w:r>
      <w:r>
        <w:rPr>
          <w:spacing w:val="-4"/>
        </w:rPr>
        <w:t> </w:t>
      </w:r>
      <w:r>
        <w:rPr/>
        <w:t>it</w:t>
      </w:r>
      <w:r>
        <w:rPr>
          <w:spacing w:val="-4"/>
        </w:rPr>
        <w:t> </w:t>
      </w:r>
      <w:r>
        <w:rPr/>
        <w:t>was</w:t>
      </w:r>
      <w:r>
        <w:rPr>
          <w:spacing w:val="-4"/>
        </w:rPr>
        <w:t> </w:t>
      </w:r>
      <w:r>
        <w:rPr/>
        <w:t>highlighted in the </w:t>
      </w:r>
      <w:r>
        <w:rPr>
          <w:i/>
        </w:rPr>
        <w:t>Republic’s </w:t>
      </w:r>
      <w:r>
        <w:rPr/>
        <w:t>Report. The Gaddie family had nearly half a million</w:t>
      </w:r>
      <w:r>
        <w:rPr>
          <w:spacing w:val="55"/>
        </w:rPr>
        <w:t> </w:t>
      </w:r>
      <w:r>
        <w:rPr/>
        <w:t>dollars</w:t>
      </w:r>
    </w:p>
    <w:p>
      <w:pPr>
        <w:spacing w:after="0" w:line="276" w:lineRule="auto"/>
        <w:jc w:val="both"/>
        <w:sectPr>
          <w:footerReference w:type="default" r:id="rId36"/>
          <w:pgSz w:w="12240" w:h="15840"/>
          <w:pgMar w:footer="1002" w:header="740" w:top="940" w:bottom="1200" w:left="1340" w:right="1320"/>
          <w:pgNumType w:start="41"/>
        </w:sectPr>
      </w:pPr>
    </w:p>
    <w:p>
      <w:pPr>
        <w:pStyle w:val="BodyText"/>
        <w:rPr>
          <w:sz w:val="20"/>
        </w:rPr>
      </w:pPr>
    </w:p>
    <w:p>
      <w:pPr>
        <w:pStyle w:val="BodyText"/>
        <w:spacing w:before="7"/>
        <w:rPr>
          <w:sz w:val="21"/>
        </w:rPr>
      </w:pPr>
    </w:p>
    <w:p>
      <w:pPr>
        <w:pStyle w:val="BodyText"/>
        <w:spacing w:line="278" w:lineRule="auto"/>
        <w:ind w:left="218" w:right="113"/>
        <w:jc w:val="both"/>
      </w:pPr>
      <w:r>
        <w:rPr/>
        <w:t>in</w:t>
      </w:r>
      <w:r>
        <w:rPr>
          <w:spacing w:val="-9"/>
        </w:rPr>
        <w:t> </w:t>
      </w:r>
      <w:r>
        <w:rPr/>
        <w:t>related-party</w:t>
      </w:r>
      <w:r>
        <w:rPr>
          <w:spacing w:val="-12"/>
        </w:rPr>
        <w:t> </w:t>
      </w:r>
      <w:r>
        <w:rPr/>
        <w:t>transactions</w:t>
      </w:r>
      <w:r>
        <w:rPr>
          <w:spacing w:val="-12"/>
        </w:rPr>
        <w:t> </w:t>
      </w:r>
      <w:r>
        <w:rPr/>
        <w:t>for</w:t>
      </w:r>
      <w:r>
        <w:rPr>
          <w:spacing w:val="-12"/>
        </w:rPr>
        <w:t> </w:t>
      </w:r>
      <w:r>
        <w:rPr/>
        <w:t>their</w:t>
      </w:r>
      <w:r>
        <w:rPr>
          <w:spacing w:val="-10"/>
        </w:rPr>
        <w:t> </w:t>
      </w:r>
      <w:r>
        <w:rPr/>
        <w:t>For-Profit</w:t>
      </w:r>
      <w:r>
        <w:rPr>
          <w:spacing w:val="-12"/>
        </w:rPr>
        <w:t> </w:t>
      </w:r>
      <w:r>
        <w:rPr/>
        <w:t>American</w:t>
      </w:r>
      <w:r>
        <w:rPr>
          <w:spacing w:val="-8"/>
        </w:rPr>
        <w:t> </w:t>
      </w:r>
      <w:r>
        <w:rPr/>
        <w:t>Basic</w:t>
      </w:r>
      <w:r>
        <w:rPr>
          <w:spacing w:val="-10"/>
        </w:rPr>
        <w:t> </w:t>
      </w:r>
      <w:r>
        <w:rPr/>
        <w:t>School</w:t>
      </w:r>
      <w:r>
        <w:rPr>
          <w:spacing w:val="-10"/>
        </w:rPr>
        <w:t> </w:t>
      </w:r>
      <w:r>
        <w:rPr/>
        <w:t>and</w:t>
      </w:r>
      <w:r>
        <w:rPr>
          <w:spacing w:val="-11"/>
        </w:rPr>
        <w:t> </w:t>
      </w:r>
      <w:r>
        <w:rPr/>
        <w:t>their</w:t>
      </w:r>
      <w:r>
        <w:rPr>
          <w:spacing w:val="-10"/>
        </w:rPr>
        <w:t> </w:t>
      </w:r>
      <w:r>
        <w:rPr/>
        <w:t>nonprofit Happy Valley School as detailed for fiscal 2013-2014. (See next</w:t>
      </w:r>
      <w:r>
        <w:rPr>
          <w:spacing w:val="-27"/>
        </w:rPr>
        <w:t> </w:t>
      </w:r>
      <w:r>
        <w:rPr/>
        <w:t>page.)</w:t>
      </w:r>
    </w:p>
    <w:p>
      <w:pPr>
        <w:pStyle w:val="BodyText"/>
        <w:spacing w:line="276" w:lineRule="auto" w:before="199"/>
        <w:ind w:left="218" w:right="112"/>
        <w:jc w:val="both"/>
      </w:pPr>
      <w:r>
        <w:rPr/>
        <w:t>This was in addition to the nonprofit salaries received of $130,345 to Glen Gaddie—the only administrative salary disclosed for their nonprofit charter. In addition, the for-profit distributed to its shareholders, Glen and Janiece Gaddie, $300,258 in 2013-2014 and</w:t>
      </w:r>
    </w:p>
    <w:p>
      <w:pPr>
        <w:pStyle w:val="BodyText"/>
        <w:spacing w:line="278" w:lineRule="auto" w:before="3"/>
        <w:ind w:left="220" w:right="111"/>
        <w:jc w:val="both"/>
      </w:pPr>
      <w:r>
        <w:rPr/>
        <w:t>$421,654 in 2014-2015. The 2014-2015 distribution drove net revenue into a loss-which is a focus of the next section.</w:t>
      </w:r>
    </w:p>
    <w:p>
      <w:pPr>
        <w:pStyle w:val="Heading2"/>
        <w:spacing w:before="194"/>
        <w:ind w:left="220"/>
        <w:jc w:val="both"/>
      </w:pPr>
      <w:r>
        <w:rPr/>
        <w:t>Positive things in the data about the Gaddie run organizations include:</w:t>
      </w:r>
    </w:p>
    <w:p>
      <w:pPr>
        <w:pStyle w:val="BodyText"/>
        <w:rPr>
          <w:b/>
          <w:sz w:val="21"/>
        </w:rPr>
      </w:pPr>
    </w:p>
    <w:p>
      <w:pPr>
        <w:pStyle w:val="BodyText"/>
        <w:spacing w:line="276" w:lineRule="auto" w:before="1"/>
        <w:ind w:left="220" w:right="112"/>
        <w:jc w:val="both"/>
      </w:pPr>
      <w:r>
        <w:rPr/>
        <w:t>The for-profit and nonprofit schools employ pre-dominantly certified teachers and the organization pays them about $40,000 a year. A figure that is higher than most charter schools, though lower than most public district schools. The nonprofit and for profit are both part of the </w:t>
      </w:r>
      <w:r>
        <w:rPr>
          <w:i/>
        </w:rPr>
        <w:t>minority </w:t>
      </w:r>
      <w:r>
        <w:rPr/>
        <w:t>of charters that participate in the Arizona State Retirement System (ASRS) for their employees. The data collected for this project, which entailed ALL charters based in Arizona indicates that the practices identified in the Arizona Republic Report continued after its publication.</w:t>
      </w:r>
    </w:p>
    <w:p>
      <w:pPr>
        <w:spacing w:before="195"/>
        <w:ind w:left="220" w:right="0" w:firstLine="0"/>
        <w:jc w:val="both"/>
        <w:rPr>
          <w:i/>
          <w:sz w:val="24"/>
        </w:rPr>
      </w:pPr>
      <w:r>
        <w:rPr>
          <w:i/>
          <w:color w:val="365F91"/>
          <w:sz w:val="24"/>
        </w:rPr>
        <w:t>For Profit Related Party Transactions for American Basic Schools LLC</w:t>
      </w:r>
    </w:p>
    <w:p>
      <w:pPr>
        <w:pStyle w:val="BodyText"/>
        <w:spacing w:before="1"/>
        <w:rPr>
          <w:i/>
          <w:sz w:val="21"/>
        </w:rPr>
      </w:pPr>
    </w:p>
    <w:p>
      <w:pPr>
        <w:pStyle w:val="BodyText"/>
        <w:ind w:left="2682"/>
      </w:pPr>
      <w:r>
        <w:rPr/>
        <w:t>(Burke Basic School - ADM 804 students)</w:t>
      </w:r>
    </w:p>
    <w:p>
      <w:pPr>
        <w:pStyle w:val="BodyText"/>
        <w:spacing w:before="7"/>
        <w:rPr>
          <w:sz w:val="21"/>
        </w:rPr>
      </w:pPr>
    </w:p>
    <w:tbl>
      <w:tblPr>
        <w:tblW w:w="0" w:type="auto"/>
        <w:jc w:val="left"/>
        <w:tblInd w:w="1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112"/>
        <w:gridCol w:w="509"/>
        <w:gridCol w:w="1020"/>
        <w:gridCol w:w="278"/>
        <w:gridCol w:w="1522"/>
      </w:tblGrid>
      <w:tr>
        <w:trPr>
          <w:trHeight w:val="280" w:hRule="atLeast"/>
        </w:trPr>
        <w:tc>
          <w:tcPr>
            <w:tcW w:w="6112" w:type="dxa"/>
            <w:shd w:val="clear" w:color="auto" w:fill="1F3763"/>
          </w:tcPr>
          <w:p>
            <w:pPr>
              <w:pStyle w:val="TableParagraph"/>
              <w:spacing w:line="239" w:lineRule="exact" w:before="40"/>
              <w:ind w:left="445" w:right="445"/>
              <w:rPr>
                <w:b/>
                <w:sz w:val="22"/>
              </w:rPr>
            </w:pPr>
            <w:r>
              <w:rPr>
                <w:b/>
                <w:color w:val="FFFFFF"/>
                <w:sz w:val="22"/>
              </w:rPr>
              <w:t>Total Leases and Fees Payable to Related Parties</w:t>
            </w:r>
          </w:p>
        </w:tc>
        <w:tc>
          <w:tcPr>
            <w:tcW w:w="1529" w:type="dxa"/>
            <w:gridSpan w:val="2"/>
            <w:shd w:val="clear" w:color="auto" w:fill="FFF1CC"/>
          </w:tcPr>
          <w:p>
            <w:pPr>
              <w:pStyle w:val="TableParagraph"/>
              <w:spacing w:line="260" w:lineRule="exact" w:before="19"/>
              <w:ind w:left="251"/>
              <w:jc w:val="left"/>
              <w:rPr>
                <w:b/>
                <w:sz w:val="24"/>
              </w:rPr>
            </w:pPr>
            <w:r>
              <w:rPr>
                <w:b/>
                <w:sz w:val="24"/>
              </w:rPr>
              <w:t>$339,864</w:t>
            </w:r>
          </w:p>
        </w:tc>
        <w:tc>
          <w:tcPr>
            <w:tcW w:w="278" w:type="dxa"/>
            <w:tcBorders>
              <w:top w:val="nil"/>
              <w:right w:val="nil"/>
            </w:tcBorders>
            <w:shd w:val="clear" w:color="auto" w:fill="FFF1CC"/>
          </w:tcPr>
          <w:p>
            <w:pPr>
              <w:pStyle w:val="TableParagraph"/>
              <w:jc w:val="left"/>
              <w:rPr>
                <w:rFonts w:ascii="Times New Roman"/>
                <w:sz w:val="22"/>
              </w:rPr>
            </w:pPr>
          </w:p>
        </w:tc>
        <w:tc>
          <w:tcPr>
            <w:tcW w:w="1522" w:type="dxa"/>
            <w:tcBorders>
              <w:top w:val="nil"/>
              <w:left w:val="nil"/>
              <w:right w:val="nil"/>
            </w:tcBorders>
          </w:tcPr>
          <w:p>
            <w:pPr>
              <w:pStyle w:val="TableParagraph"/>
              <w:jc w:val="left"/>
              <w:rPr>
                <w:rFonts w:ascii="Times New Roman"/>
                <w:sz w:val="22"/>
              </w:rPr>
            </w:pPr>
          </w:p>
        </w:tc>
      </w:tr>
      <w:tr>
        <w:trPr>
          <w:trHeight w:val="300" w:hRule="atLeast"/>
        </w:trPr>
        <w:tc>
          <w:tcPr>
            <w:tcW w:w="6112" w:type="dxa"/>
            <w:shd w:val="clear" w:color="auto" w:fill="1F3763"/>
          </w:tcPr>
          <w:p>
            <w:pPr>
              <w:pStyle w:val="TableParagraph"/>
              <w:spacing w:line="239" w:lineRule="exact" w:before="43"/>
              <w:ind w:left="444" w:right="445"/>
              <w:rPr>
                <w:b/>
                <w:sz w:val="22"/>
              </w:rPr>
            </w:pPr>
            <w:r>
              <w:rPr>
                <w:b/>
                <w:color w:val="FFFFFF"/>
                <w:sz w:val="22"/>
              </w:rPr>
              <w:t>Related Party Transactions</w:t>
            </w:r>
          </w:p>
        </w:tc>
        <w:tc>
          <w:tcPr>
            <w:tcW w:w="1529" w:type="dxa"/>
            <w:gridSpan w:val="2"/>
            <w:shd w:val="clear" w:color="auto" w:fill="1F3763"/>
          </w:tcPr>
          <w:p>
            <w:pPr>
              <w:pStyle w:val="TableParagraph"/>
              <w:spacing w:line="262" w:lineRule="exact" w:before="19"/>
              <w:ind w:left="486"/>
              <w:jc w:val="left"/>
              <w:rPr>
                <w:b/>
                <w:sz w:val="24"/>
              </w:rPr>
            </w:pPr>
            <w:r>
              <w:rPr>
                <w:b/>
                <w:color w:val="FFFFFF"/>
                <w:sz w:val="24"/>
              </w:rPr>
              <w:t>2014</w:t>
            </w:r>
          </w:p>
        </w:tc>
        <w:tc>
          <w:tcPr>
            <w:tcW w:w="1801" w:type="dxa"/>
            <w:gridSpan w:val="2"/>
            <w:shd w:val="clear" w:color="auto" w:fill="1F3763"/>
          </w:tcPr>
          <w:p>
            <w:pPr>
              <w:pStyle w:val="TableParagraph"/>
              <w:spacing w:line="262" w:lineRule="exact" w:before="19"/>
              <w:ind w:left="196"/>
              <w:jc w:val="left"/>
              <w:rPr>
                <w:b/>
                <w:sz w:val="24"/>
              </w:rPr>
            </w:pPr>
            <w:r>
              <w:rPr>
                <w:b/>
                <w:color w:val="FFFFFF"/>
                <w:sz w:val="24"/>
              </w:rPr>
              <w:t>Paid in 2014</w:t>
            </w:r>
          </w:p>
        </w:tc>
      </w:tr>
      <w:tr>
        <w:trPr>
          <w:trHeight w:val="500" w:hRule="atLeast"/>
        </w:trPr>
        <w:tc>
          <w:tcPr>
            <w:tcW w:w="6112" w:type="dxa"/>
            <w:tcBorders>
              <w:left w:val="single" w:sz="4" w:space="0" w:color="000000"/>
              <w:bottom w:val="single" w:sz="4" w:space="0" w:color="000000"/>
              <w:right w:val="single" w:sz="4" w:space="0" w:color="000000"/>
            </w:tcBorders>
            <w:shd w:val="clear" w:color="auto" w:fill="FFF1CC"/>
          </w:tcPr>
          <w:p>
            <w:pPr>
              <w:pStyle w:val="TableParagraph"/>
              <w:spacing w:line="247" w:lineRule="exact"/>
              <w:ind w:left="88" w:right="95"/>
              <w:rPr>
                <w:b/>
                <w:sz w:val="22"/>
              </w:rPr>
            </w:pPr>
            <w:r>
              <w:rPr>
                <w:b/>
                <w:sz w:val="22"/>
              </w:rPr>
              <w:t>School has Entered Into a Lease with the Owners</w:t>
            </w:r>
          </w:p>
          <w:p>
            <w:pPr>
              <w:pStyle w:val="TableParagraph"/>
              <w:spacing w:line="236" w:lineRule="exact"/>
              <w:ind w:left="95" w:right="95"/>
              <w:rPr>
                <w:b/>
                <w:sz w:val="22"/>
              </w:rPr>
            </w:pPr>
            <w:r>
              <w:rPr>
                <w:b/>
                <w:sz w:val="22"/>
              </w:rPr>
              <w:t>(Members)</w:t>
            </w:r>
          </w:p>
        </w:tc>
        <w:tc>
          <w:tcPr>
            <w:tcW w:w="1529" w:type="dxa"/>
            <w:gridSpan w:val="2"/>
            <w:tcBorders>
              <w:left w:val="single" w:sz="4" w:space="0" w:color="000000"/>
              <w:bottom w:val="single" w:sz="4" w:space="0" w:color="000000"/>
              <w:right w:val="single" w:sz="4" w:space="0" w:color="000000"/>
            </w:tcBorders>
            <w:shd w:val="clear" w:color="auto" w:fill="FFF1CC"/>
          </w:tcPr>
          <w:p>
            <w:pPr>
              <w:pStyle w:val="TableParagraph"/>
              <w:jc w:val="left"/>
              <w:rPr>
                <w:rFonts w:ascii="Times New Roman"/>
                <w:sz w:val="22"/>
              </w:rPr>
            </w:pPr>
          </w:p>
        </w:tc>
        <w:tc>
          <w:tcPr>
            <w:tcW w:w="1801" w:type="dxa"/>
            <w:gridSpan w:val="2"/>
            <w:tcBorders>
              <w:left w:val="single" w:sz="4" w:space="0" w:color="000000"/>
              <w:bottom w:val="single" w:sz="4" w:space="0" w:color="000000"/>
              <w:right w:val="single" w:sz="4" w:space="0" w:color="000000"/>
            </w:tcBorders>
            <w:shd w:val="clear" w:color="auto" w:fill="FFF1CC"/>
          </w:tcPr>
          <w:p>
            <w:pPr>
              <w:pStyle w:val="TableParagraph"/>
              <w:jc w:val="left"/>
              <w:rPr>
                <w:rFonts w:ascii="Times New Roman"/>
                <w:sz w:val="22"/>
              </w:rPr>
            </w:pPr>
          </w:p>
        </w:tc>
      </w:tr>
      <w:tr>
        <w:trPr>
          <w:trHeight w:val="50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48" w:lineRule="exact"/>
              <w:ind w:left="147" w:right="95"/>
              <w:rPr>
                <w:b/>
                <w:sz w:val="22"/>
              </w:rPr>
            </w:pPr>
            <w:r>
              <w:rPr>
                <w:b/>
                <w:sz w:val="22"/>
              </w:rPr>
              <w:t>Termination of the Prior Lease Agreement Resulted in a</w:t>
            </w:r>
          </w:p>
          <w:p>
            <w:pPr>
              <w:pStyle w:val="TableParagraph"/>
              <w:spacing w:line="237" w:lineRule="exact" w:before="1"/>
              <w:ind w:left="96" w:right="95"/>
              <w:rPr>
                <w:b/>
                <w:sz w:val="22"/>
              </w:rPr>
            </w:pPr>
            <w:r>
              <w:rPr>
                <w:b/>
                <w:sz w:val="22"/>
              </w:rPr>
              <w:t>Gain of</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before="209"/>
              <w:ind w:left="256"/>
              <w:jc w:val="left"/>
              <w:rPr>
                <w:b/>
                <w:sz w:val="24"/>
              </w:rPr>
            </w:pPr>
            <w:r>
              <w:rPr>
                <w:b/>
                <w:sz w:val="24"/>
              </w:rPr>
              <w:t>$214,236</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jc w:val="left"/>
              <w:rPr>
                <w:rFonts w:ascii="Times New Roman"/>
                <w:sz w:val="22"/>
              </w:rPr>
            </w:pPr>
          </w:p>
        </w:tc>
      </w:tr>
      <w:tr>
        <w:trPr>
          <w:trHeight w:val="54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52" w:lineRule="exact" w:before="45"/>
              <w:ind w:left="2892" w:right="97" w:hanging="2715"/>
              <w:jc w:val="left"/>
              <w:rPr>
                <w:b/>
                <w:sz w:val="22"/>
              </w:rPr>
            </w:pPr>
            <w:r>
              <w:rPr>
                <w:b/>
                <w:sz w:val="22"/>
              </w:rPr>
              <w:t>A Loan was Given to the Same Members During 2014 at 5%</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before="2"/>
              <w:jc w:val="left"/>
              <w:rPr>
                <w:sz w:val="22"/>
              </w:rPr>
            </w:pPr>
          </w:p>
          <w:p>
            <w:pPr>
              <w:pStyle w:val="TableParagraph"/>
              <w:spacing w:line="276" w:lineRule="exact"/>
              <w:ind w:left="256"/>
              <w:jc w:val="left"/>
              <w:rPr>
                <w:b/>
                <w:sz w:val="24"/>
              </w:rPr>
            </w:pPr>
            <w:r>
              <w:rPr>
                <w:b/>
                <w:sz w:val="24"/>
              </w:rPr>
              <w:t>$275,000</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1" w:lineRule="exact"/>
              <w:ind w:left="245" w:right="251"/>
              <w:rPr>
                <w:b/>
                <w:i/>
                <w:sz w:val="24"/>
              </w:rPr>
            </w:pPr>
            <w:r>
              <w:rPr>
                <w:b/>
                <w:i/>
                <w:sz w:val="24"/>
              </w:rPr>
              <w:t>From Cash</w:t>
            </w:r>
          </w:p>
          <w:p>
            <w:pPr>
              <w:pStyle w:val="TableParagraph"/>
              <w:spacing w:line="259" w:lineRule="exact"/>
              <w:ind w:left="245" w:right="246"/>
              <w:rPr>
                <w:b/>
                <w:i/>
                <w:sz w:val="24"/>
              </w:rPr>
            </w:pPr>
            <w:r>
              <w:rPr>
                <w:b/>
                <w:i/>
                <w:sz w:val="24"/>
              </w:rPr>
              <w:t>Flow</w:t>
            </w:r>
          </w:p>
        </w:tc>
      </w:tr>
      <w:tr>
        <w:trPr>
          <w:trHeight w:val="28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37" w:lineRule="exact" w:before="25"/>
              <w:ind w:left="147" w:right="88"/>
              <w:rPr>
                <w:b/>
                <w:sz w:val="22"/>
              </w:rPr>
            </w:pPr>
            <w:r>
              <w:rPr>
                <w:b/>
                <w:sz w:val="22"/>
              </w:rPr>
              <w:t>Paid on Loan</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58" w:lineRule="exact" w:before="4"/>
              <w:ind w:left="244"/>
              <w:jc w:val="left"/>
              <w:rPr>
                <w:b/>
                <w:sz w:val="24"/>
              </w:rPr>
            </w:pPr>
            <w:r>
              <w:rPr>
                <w:b/>
                <w:sz w:val="24"/>
              </w:rPr>
              <w:t>$(42,109)</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jc w:val="left"/>
              <w:rPr>
                <w:rFonts w:ascii="Times New Roman"/>
                <w:sz w:val="20"/>
              </w:rPr>
            </w:pPr>
          </w:p>
        </w:tc>
      </w:tr>
      <w:tr>
        <w:trPr>
          <w:trHeight w:val="26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35" w:lineRule="exact" w:before="24"/>
              <w:ind w:left="147" w:right="90"/>
              <w:rPr>
                <w:b/>
                <w:sz w:val="22"/>
              </w:rPr>
            </w:pPr>
            <w:r>
              <w:rPr>
                <w:b/>
                <w:sz w:val="22"/>
              </w:rPr>
              <w:t>Rental on Van Owned by A Member of the LLC</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57" w:lineRule="exact" w:before="2"/>
              <w:ind w:left="390"/>
              <w:jc w:val="left"/>
              <w:rPr>
                <w:b/>
                <w:sz w:val="24"/>
              </w:rPr>
            </w:pPr>
            <w:r>
              <w:rPr>
                <w:b/>
                <w:sz w:val="24"/>
              </w:rPr>
              <w:t>$6,000</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57" w:lineRule="exact" w:before="2"/>
              <w:ind w:left="527"/>
              <w:jc w:val="left"/>
              <w:rPr>
                <w:b/>
                <w:sz w:val="24"/>
              </w:rPr>
            </w:pPr>
            <w:r>
              <w:rPr>
                <w:b/>
                <w:sz w:val="24"/>
              </w:rPr>
              <w:t>$5,500</w:t>
            </w:r>
          </w:p>
        </w:tc>
      </w:tr>
      <w:tr>
        <w:trPr>
          <w:trHeight w:val="48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40" w:lineRule="exact" w:before="8"/>
              <w:ind w:left="2061" w:right="208" w:hanging="1774"/>
              <w:jc w:val="left"/>
              <w:rPr>
                <w:b/>
                <w:sz w:val="22"/>
              </w:rPr>
            </w:pPr>
            <w:r>
              <w:rPr>
                <w:b/>
                <w:sz w:val="22"/>
              </w:rPr>
              <w:t>Parents of Board Members Rented Land and Building Space to Company</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0" w:lineRule="exact" w:before="210"/>
              <w:ind w:left="390"/>
              <w:jc w:val="left"/>
              <w:rPr>
                <w:b/>
                <w:sz w:val="24"/>
              </w:rPr>
            </w:pPr>
            <w:r>
              <w:rPr>
                <w:b/>
                <w:sz w:val="24"/>
              </w:rPr>
              <w:t>$9,000</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0" w:lineRule="exact" w:before="210"/>
              <w:ind w:left="527"/>
              <w:jc w:val="left"/>
              <w:rPr>
                <w:b/>
                <w:sz w:val="24"/>
              </w:rPr>
            </w:pPr>
            <w:r>
              <w:rPr>
                <w:b/>
                <w:sz w:val="24"/>
              </w:rPr>
              <w:t>$9,000</w:t>
            </w:r>
          </w:p>
        </w:tc>
      </w:tr>
      <w:tr>
        <w:trPr>
          <w:trHeight w:val="50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42" w:lineRule="exact" w:before="5"/>
              <w:ind w:left="1135" w:right="516" w:hanging="545"/>
              <w:jc w:val="left"/>
              <w:rPr>
                <w:b/>
                <w:sz w:val="22"/>
              </w:rPr>
            </w:pPr>
            <w:r>
              <w:rPr>
                <w:b/>
                <w:sz w:val="22"/>
              </w:rPr>
              <w:t>Governing Board Member Provided Accounting Services (Compliance Services, Inc.)</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2" w:lineRule="exact" w:before="209"/>
              <w:ind w:left="323"/>
              <w:jc w:val="left"/>
              <w:rPr>
                <w:b/>
                <w:sz w:val="24"/>
              </w:rPr>
            </w:pPr>
            <w:r>
              <w:rPr>
                <w:b/>
                <w:sz w:val="24"/>
              </w:rPr>
              <w:t>$55,292</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2" w:lineRule="exact" w:before="209"/>
              <w:ind w:left="460"/>
              <w:jc w:val="left"/>
              <w:rPr>
                <w:b/>
                <w:sz w:val="24"/>
              </w:rPr>
            </w:pPr>
            <w:r>
              <w:rPr>
                <w:b/>
                <w:sz w:val="24"/>
              </w:rPr>
              <w:t>$57,377</w:t>
            </w:r>
          </w:p>
        </w:tc>
      </w:tr>
      <w:tr>
        <w:trPr>
          <w:trHeight w:val="500" w:hRule="atLeast"/>
        </w:trPr>
        <w:tc>
          <w:tcPr>
            <w:tcW w:w="6112" w:type="dxa"/>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52" w:lineRule="exact"/>
              <w:ind w:left="929" w:right="581" w:hanging="269"/>
              <w:jc w:val="left"/>
              <w:rPr>
                <w:b/>
                <w:sz w:val="22"/>
              </w:rPr>
            </w:pPr>
            <w:r>
              <w:rPr>
                <w:b/>
                <w:sz w:val="22"/>
              </w:rPr>
              <w:t>Happy Valley School Inc. (Common Board and Members) Leases Buses and Computers</w:t>
            </w:r>
          </w:p>
        </w:tc>
        <w:tc>
          <w:tcPr>
            <w:tcW w:w="1529"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5" w:lineRule="exact" w:before="209"/>
              <w:ind w:left="323"/>
              <w:jc w:val="left"/>
              <w:rPr>
                <w:b/>
                <w:sz w:val="24"/>
              </w:rPr>
            </w:pPr>
            <w:r>
              <w:rPr>
                <w:b/>
                <w:sz w:val="24"/>
              </w:rPr>
              <w:t>$78,760</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spacing w:line="275" w:lineRule="exact" w:before="209"/>
              <w:ind w:left="460"/>
              <w:jc w:val="left"/>
              <w:rPr>
                <w:b/>
                <w:sz w:val="24"/>
              </w:rPr>
            </w:pPr>
            <w:r>
              <w:rPr>
                <w:b/>
                <w:sz w:val="24"/>
              </w:rPr>
              <w:t>$44,684</w:t>
            </w:r>
          </w:p>
        </w:tc>
      </w:tr>
      <w:tr>
        <w:trPr>
          <w:trHeight w:val="500" w:hRule="atLeast"/>
        </w:trPr>
        <w:tc>
          <w:tcPr>
            <w:tcW w:w="6112" w:type="dxa"/>
            <w:tcBorders>
              <w:top w:val="single" w:sz="4" w:space="0" w:color="000000"/>
              <w:left w:val="single" w:sz="4" w:space="0" w:color="000000"/>
              <w:right w:val="single" w:sz="4" w:space="0" w:color="000000"/>
            </w:tcBorders>
            <w:shd w:val="clear" w:color="auto" w:fill="FFF1CC"/>
          </w:tcPr>
          <w:p>
            <w:pPr>
              <w:pStyle w:val="TableParagraph"/>
              <w:spacing w:line="248" w:lineRule="exact"/>
              <w:ind w:left="147" w:right="87"/>
              <w:rPr>
                <w:b/>
                <w:sz w:val="22"/>
              </w:rPr>
            </w:pPr>
            <w:r>
              <w:rPr>
                <w:b/>
                <w:sz w:val="22"/>
              </w:rPr>
              <w:t>Happy Valley School Inc. (Common Board and</w:t>
            </w:r>
          </w:p>
          <w:p>
            <w:pPr>
              <w:pStyle w:val="TableParagraph"/>
              <w:spacing w:line="236" w:lineRule="exact"/>
              <w:ind w:left="96" w:right="95"/>
              <w:rPr>
                <w:b/>
                <w:sz w:val="22"/>
              </w:rPr>
            </w:pPr>
            <w:r>
              <w:rPr>
                <w:b/>
                <w:sz w:val="22"/>
              </w:rPr>
              <w:t>Members) Services and on Behalf of HV</w:t>
            </w:r>
          </w:p>
        </w:tc>
        <w:tc>
          <w:tcPr>
            <w:tcW w:w="1529" w:type="dxa"/>
            <w:gridSpan w:val="2"/>
            <w:tcBorders>
              <w:top w:val="single" w:sz="4" w:space="0" w:color="000000"/>
              <w:left w:val="single" w:sz="4" w:space="0" w:color="000000"/>
              <w:right w:val="single" w:sz="4" w:space="0" w:color="000000"/>
            </w:tcBorders>
            <w:shd w:val="clear" w:color="auto" w:fill="FFF1CC"/>
          </w:tcPr>
          <w:p>
            <w:pPr>
              <w:pStyle w:val="TableParagraph"/>
              <w:spacing w:line="274" w:lineRule="exact" w:before="209"/>
              <w:ind w:left="491"/>
              <w:jc w:val="left"/>
              <w:rPr>
                <w:b/>
                <w:sz w:val="24"/>
              </w:rPr>
            </w:pPr>
            <w:r>
              <w:rPr>
                <w:b/>
                <w:sz w:val="24"/>
              </w:rPr>
              <w:t>$835</w:t>
            </w:r>
          </w:p>
        </w:tc>
        <w:tc>
          <w:tcPr>
            <w:tcW w:w="1801" w:type="dxa"/>
            <w:gridSpan w:val="2"/>
            <w:tcBorders>
              <w:top w:val="single" w:sz="4" w:space="0" w:color="000000"/>
              <w:left w:val="single" w:sz="4" w:space="0" w:color="000000"/>
              <w:bottom w:val="single" w:sz="4" w:space="0" w:color="000000"/>
              <w:right w:val="single" w:sz="4" w:space="0" w:color="000000"/>
            </w:tcBorders>
            <w:shd w:val="clear" w:color="auto" w:fill="FFF1CC"/>
          </w:tcPr>
          <w:p>
            <w:pPr>
              <w:pStyle w:val="TableParagraph"/>
              <w:jc w:val="left"/>
              <w:rPr>
                <w:rFonts w:ascii="Times New Roman"/>
                <w:sz w:val="22"/>
              </w:rPr>
            </w:pPr>
          </w:p>
        </w:tc>
      </w:tr>
      <w:tr>
        <w:trPr>
          <w:trHeight w:val="300" w:hRule="atLeast"/>
        </w:trPr>
        <w:tc>
          <w:tcPr>
            <w:tcW w:w="6621" w:type="dxa"/>
            <w:gridSpan w:val="2"/>
            <w:shd w:val="clear" w:color="auto" w:fill="1F3763"/>
          </w:tcPr>
          <w:p>
            <w:pPr>
              <w:pStyle w:val="TableParagraph"/>
              <w:spacing w:line="240" w:lineRule="exact" w:before="41"/>
              <w:ind w:left="456"/>
              <w:jc w:val="left"/>
              <w:rPr>
                <w:b/>
                <w:sz w:val="22"/>
              </w:rPr>
            </w:pPr>
            <w:r>
              <w:rPr>
                <w:b/>
                <w:color w:val="FFFFFF"/>
                <w:sz w:val="22"/>
              </w:rPr>
              <w:t>Represents Over $500 K in Related Party Transactions</w:t>
            </w:r>
          </w:p>
        </w:tc>
        <w:tc>
          <w:tcPr>
            <w:tcW w:w="2821" w:type="dxa"/>
            <w:gridSpan w:val="3"/>
            <w:tcBorders>
              <w:bottom w:val="nil"/>
              <w:right w:val="nil"/>
            </w:tcBorders>
            <w:shd w:val="clear" w:color="auto" w:fill="FFF1CC"/>
          </w:tcPr>
          <w:p>
            <w:pPr>
              <w:pStyle w:val="TableParagraph"/>
              <w:jc w:val="left"/>
              <w:rPr>
                <w:rFonts w:ascii="Times New Roman"/>
                <w:sz w:val="22"/>
              </w:rPr>
            </w:pPr>
          </w:p>
        </w:tc>
      </w:tr>
      <w:tr>
        <w:trPr>
          <w:trHeight w:val="480" w:hRule="atLeast"/>
        </w:trPr>
        <w:tc>
          <w:tcPr>
            <w:tcW w:w="9441" w:type="dxa"/>
            <w:gridSpan w:val="5"/>
            <w:tcBorders>
              <w:top w:val="nil"/>
              <w:left w:val="nil"/>
              <w:bottom w:val="nil"/>
              <w:right w:val="nil"/>
            </w:tcBorders>
            <w:shd w:val="clear" w:color="auto" w:fill="FFF1CC"/>
          </w:tcPr>
          <w:p>
            <w:pPr>
              <w:pStyle w:val="TableParagraph"/>
              <w:spacing w:before="11"/>
              <w:ind w:left="178"/>
              <w:jc w:val="left"/>
              <w:rPr>
                <w:b/>
                <w:sz w:val="22"/>
              </w:rPr>
            </w:pPr>
            <w:r>
              <w:rPr>
                <w:b/>
                <w:sz w:val="22"/>
              </w:rPr>
              <w:t>Glen and Janiece Gaddie are Sole Owners Listed by ASBCS</w:t>
            </w:r>
          </w:p>
        </w:tc>
      </w:tr>
    </w:tbl>
    <w:p>
      <w:pPr>
        <w:spacing w:after="0"/>
        <w:jc w:val="left"/>
        <w:rPr>
          <w:sz w:val="22"/>
        </w:rPr>
        <w:sectPr>
          <w:pgSz w:w="12240" w:h="15840"/>
          <w:pgMar w:header="740" w:footer="1002" w:top="940" w:bottom="1200" w:left="1220" w:right="1320"/>
        </w:sectPr>
      </w:pPr>
    </w:p>
    <w:p>
      <w:pPr>
        <w:pStyle w:val="BodyText"/>
        <w:rPr>
          <w:sz w:val="20"/>
        </w:rPr>
      </w:pPr>
    </w:p>
    <w:p>
      <w:pPr>
        <w:pStyle w:val="BodyText"/>
        <w:spacing w:before="2"/>
        <w:rPr>
          <w:sz w:val="21"/>
        </w:rPr>
      </w:pPr>
    </w:p>
    <w:p>
      <w:pPr>
        <w:spacing w:before="1"/>
        <w:ind w:left="220" w:right="0" w:firstLine="0"/>
        <w:jc w:val="left"/>
        <w:rPr>
          <w:i/>
          <w:sz w:val="24"/>
        </w:rPr>
      </w:pPr>
      <w:r>
        <w:rPr>
          <w:i/>
          <w:color w:val="365F91"/>
          <w:sz w:val="24"/>
        </w:rPr>
        <w:t>The Non Profit Related Party Transaction for Happy Valley School Inc.</w:t>
      </w:r>
    </w:p>
    <w:p>
      <w:pPr>
        <w:pStyle w:val="BodyText"/>
        <w:spacing w:before="5"/>
        <w:rPr>
          <w:i/>
          <w:sz w:val="21"/>
        </w:rPr>
      </w:pPr>
    </w:p>
    <w:p>
      <w:pPr>
        <w:pStyle w:val="BodyText"/>
        <w:spacing w:before="1"/>
        <w:ind w:left="1782"/>
      </w:pPr>
      <w:r>
        <w:rPr/>
        <w:t>(Happy Valley School Inc. - ADM 642 at this site: students)</w:t>
      </w:r>
    </w:p>
    <w:p>
      <w:pPr>
        <w:pStyle w:val="BodyText"/>
        <w:spacing w:before="2" w:after="1"/>
        <w:rPr>
          <w:sz w:val="21"/>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52"/>
        <w:gridCol w:w="1800"/>
        <w:gridCol w:w="1889"/>
      </w:tblGrid>
      <w:tr>
        <w:trPr>
          <w:trHeight w:val="500" w:hRule="atLeast"/>
        </w:trPr>
        <w:tc>
          <w:tcPr>
            <w:tcW w:w="5752" w:type="dxa"/>
            <w:tcBorders>
              <w:bottom w:val="single" w:sz="8" w:space="0" w:color="000000"/>
            </w:tcBorders>
            <w:shd w:val="clear" w:color="auto" w:fill="1F3763"/>
          </w:tcPr>
          <w:p>
            <w:pPr>
              <w:pStyle w:val="TableParagraph"/>
              <w:spacing w:line="240" w:lineRule="exact" w:before="7"/>
              <w:ind w:left="1874" w:right="146" w:hanging="1714"/>
              <w:jc w:val="left"/>
              <w:rPr>
                <w:b/>
                <w:sz w:val="22"/>
              </w:rPr>
            </w:pPr>
            <w:r>
              <w:rPr>
                <w:b/>
                <w:color w:val="FFFFFF"/>
                <w:sz w:val="22"/>
              </w:rPr>
              <w:t>Yearly Lease Entered Into with Two Board Members (Subsequent Event</w:t>
            </w:r>
          </w:p>
        </w:tc>
        <w:tc>
          <w:tcPr>
            <w:tcW w:w="1800" w:type="dxa"/>
            <w:tcBorders>
              <w:bottom w:val="single" w:sz="8" w:space="0" w:color="000000"/>
            </w:tcBorders>
            <w:shd w:val="clear" w:color="auto" w:fill="FFE699"/>
          </w:tcPr>
          <w:p>
            <w:pPr>
              <w:pStyle w:val="TableParagraph"/>
              <w:spacing w:line="272" w:lineRule="exact" w:before="209"/>
              <w:ind w:left="373" w:right="374"/>
              <w:rPr>
                <w:b/>
                <w:sz w:val="24"/>
              </w:rPr>
            </w:pPr>
            <w:r>
              <w:rPr>
                <w:b/>
                <w:sz w:val="24"/>
              </w:rPr>
              <w:t>$102,000</w:t>
            </w:r>
          </w:p>
        </w:tc>
        <w:tc>
          <w:tcPr>
            <w:tcW w:w="1889" w:type="dxa"/>
            <w:tcBorders>
              <w:bottom w:val="single" w:sz="8" w:space="0" w:color="000000"/>
            </w:tcBorders>
            <w:shd w:val="clear" w:color="auto" w:fill="FFE699"/>
          </w:tcPr>
          <w:p>
            <w:pPr>
              <w:pStyle w:val="TableParagraph"/>
              <w:jc w:val="left"/>
              <w:rPr>
                <w:rFonts w:ascii="Times New Roman"/>
                <w:sz w:val="22"/>
              </w:rPr>
            </w:pPr>
          </w:p>
        </w:tc>
      </w:tr>
      <w:tr>
        <w:trPr>
          <w:trHeight w:val="280" w:hRule="atLeast"/>
        </w:trPr>
        <w:tc>
          <w:tcPr>
            <w:tcW w:w="5752" w:type="dxa"/>
            <w:tcBorders>
              <w:top w:val="single" w:sz="8" w:space="0" w:color="000000"/>
              <w:bottom w:val="single" w:sz="8" w:space="0" w:color="000000"/>
              <w:right w:val="single" w:sz="8" w:space="0" w:color="000000"/>
            </w:tcBorders>
            <w:shd w:val="clear" w:color="auto" w:fill="1F3763"/>
          </w:tcPr>
          <w:p>
            <w:pPr>
              <w:pStyle w:val="TableParagraph"/>
              <w:spacing w:line="239" w:lineRule="exact" w:before="40"/>
              <w:ind w:left="1429" w:right="1430"/>
              <w:rPr>
                <w:b/>
                <w:sz w:val="22"/>
              </w:rPr>
            </w:pPr>
            <w:r>
              <w:rPr>
                <w:b/>
                <w:color w:val="FFFFFF"/>
                <w:sz w:val="22"/>
              </w:rPr>
              <w:t>Related Party Transactions</w:t>
            </w:r>
          </w:p>
        </w:tc>
        <w:tc>
          <w:tcPr>
            <w:tcW w:w="1800" w:type="dxa"/>
            <w:tcBorders>
              <w:top w:val="single" w:sz="8" w:space="0" w:color="000000"/>
              <w:left w:val="single" w:sz="8" w:space="0" w:color="000000"/>
              <w:bottom w:val="single" w:sz="8" w:space="0" w:color="000000"/>
              <w:right w:val="single" w:sz="8" w:space="0" w:color="000000"/>
            </w:tcBorders>
            <w:shd w:val="clear" w:color="auto" w:fill="1F3763"/>
          </w:tcPr>
          <w:p>
            <w:pPr>
              <w:pStyle w:val="TableParagraph"/>
              <w:spacing w:line="239" w:lineRule="exact" w:before="40"/>
              <w:ind w:left="191" w:right="191"/>
              <w:rPr>
                <w:b/>
                <w:sz w:val="22"/>
              </w:rPr>
            </w:pPr>
            <w:r>
              <w:rPr>
                <w:b/>
                <w:color w:val="FFFFFF"/>
                <w:sz w:val="22"/>
              </w:rPr>
              <w:t>2014</w:t>
            </w:r>
          </w:p>
        </w:tc>
        <w:tc>
          <w:tcPr>
            <w:tcW w:w="1889" w:type="dxa"/>
            <w:tcBorders>
              <w:top w:val="single" w:sz="8" w:space="0" w:color="000000"/>
              <w:left w:val="single" w:sz="8" w:space="0" w:color="000000"/>
              <w:bottom w:val="single" w:sz="8" w:space="0" w:color="000000"/>
            </w:tcBorders>
            <w:shd w:val="clear" w:color="auto" w:fill="1F3763"/>
          </w:tcPr>
          <w:p>
            <w:pPr>
              <w:pStyle w:val="TableParagraph"/>
              <w:spacing w:line="239" w:lineRule="exact" w:before="40"/>
              <w:ind w:left="279" w:right="282"/>
              <w:rPr>
                <w:b/>
                <w:sz w:val="22"/>
              </w:rPr>
            </w:pPr>
            <w:r>
              <w:rPr>
                <w:b/>
                <w:color w:val="FFFFFF"/>
                <w:sz w:val="22"/>
              </w:rPr>
              <w:t>Paid in 2014</w:t>
            </w:r>
          </w:p>
        </w:tc>
      </w:tr>
      <w:tr>
        <w:trPr>
          <w:trHeight w:val="500" w:hRule="atLeast"/>
        </w:trPr>
        <w:tc>
          <w:tcPr>
            <w:tcW w:w="5752" w:type="dxa"/>
            <w:tcBorders>
              <w:top w:val="single" w:sz="8" w:space="0" w:color="000000"/>
            </w:tcBorders>
            <w:shd w:val="clear" w:color="auto" w:fill="FFE699"/>
          </w:tcPr>
          <w:p>
            <w:pPr>
              <w:pStyle w:val="TableParagraph"/>
              <w:spacing w:line="242" w:lineRule="exact" w:before="2"/>
              <w:ind w:left="2313" w:right="281" w:hanging="2019"/>
              <w:jc w:val="left"/>
              <w:rPr>
                <w:b/>
                <w:sz w:val="22"/>
              </w:rPr>
            </w:pPr>
            <w:r>
              <w:rPr>
                <w:b/>
                <w:sz w:val="22"/>
              </w:rPr>
              <w:t>School has Entered Into a Lease with the Owners (Members)</w:t>
            </w:r>
          </w:p>
        </w:tc>
        <w:tc>
          <w:tcPr>
            <w:tcW w:w="1800" w:type="dxa"/>
            <w:tcBorders>
              <w:top w:val="single" w:sz="8" w:space="0" w:color="000000"/>
            </w:tcBorders>
            <w:shd w:val="clear" w:color="auto" w:fill="FFE699"/>
          </w:tcPr>
          <w:p>
            <w:pPr>
              <w:pStyle w:val="TableParagraph"/>
              <w:spacing w:line="272" w:lineRule="exact" w:before="209"/>
              <w:ind w:left="373" w:right="373"/>
              <w:rPr>
                <w:b/>
                <w:sz w:val="24"/>
              </w:rPr>
            </w:pPr>
            <w:r>
              <w:rPr>
                <w:b/>
                <w:sz w:val="24"/>
              </w:rPr>
              <w:t>$9,000</w:t>
            </w:r>
          </w:p>
        </w:tc>
        <w:tc>
          <w:tcPr>
            <w:tcW w:w="1889" w:type="dxa"/>
            <w:tcBorders>
              <w:top w:val="single" w:sz="8" w:space="0" w:color="000000"/>
            </w:tcBorders>
            <w:shd w:val="clear" w:color="auto" w:fill="FFE699"/>
          </w:tcPr>
          <w:p>
            <w:pPr>
              <w:pStyle w:val="TableParagraph"/>
              <w:spacing w:line="272" w:lineRule="exact" w:before="209"/>
              <w:ind w:left="485" w:right="485"/>
              <w:rPr>
                <w:b/>
                <w:sz w:val="24"/>
              </w:rPr>
            </w:pPr>
            <w:r>
              <w:rPr>
                <w:b/>
                <w:sz w:val="24"/>
              </w:rPr>
              <w:t>$8,020</w:t>
            </w:r>
          </w:p>
        </w:tc>
      </w:tr>
      <w:tr>
        <w:trPr>
          <w:trHeight w:val="480" w:hRule="atLeast"/>
        </w:trPr>
        <w:tc>
          <w:tcPr>
            <w:tcW w:w="5752" w:type="dxa"/>
            <w:tcBorders>
              <w:bottom w:val="single" w:sz="6" w:space="0" w:color="000000"/>
            </w:tcBorders>
            <w:shd w:val="clear" w:color="auto" w:fill="FFE699"/>
          </w:tcPr>
          <w:p>
            <w:pPr>
              <w:pStyle w:val="TableParagraph"/>
              <w:spacing w:line="240" w:lineRule="exact" w:before="7"/>
              <w:ind w:left="1757" w:right="330" w:hanging="1342"/>
              <w:jc w:val="left"/>
              <w:rPr>
                <w:b/>
                <w:sz w:val="22"/>
              </w:rPr>
            </w:pPr>
            <w:r>
              <w:rPr>
                <w:b/>
                <w:sz w:val="22"/>
              </w:rPr>
              <w:t>Landscaping Services by a Business Owned by Two Family Members</w:t>
            </w:r>
          </w:p>
        </w:tc>
        <w:tc>
          <w:tcPr>
            <w:tcW w:w="1800" w:type="dxa"/>
            <w:tcBorders>
              <w:bottom w:val="single" w:sz="6" w:space="0" w:color="000000"/>
            </w:tcBorders>
            <w:shd w:val="clear" w:color="auto" w:fill="FFE699"/>
          </w:tcPr>
          <w:p>
            <w:pPr>
              <w:pStyle w:val="TableParagraph"/>
              <w:spacing w:line="268" w:lineRule="exact" w:before="209"/>
              <w:ind w:left="373" w:right="373"/>
              <w:rPr>
                <w:b/>
                <w:sz w:val="24"/>
              </w:rPr>
            </w:pPr>
            <w:r>
              <w:rPr>
                <w:b/>
                <w:sz w:val="24"/>
              </w:rPr>
              <w:t>$5,400</w:t>
            </w:r>
          </w:p>
        </w:tc>
        <w:tc>
          <w:tcPr>
            <w:tcW w:w="1889" w:type="dxa"/>
            <w:tcBorders>
              <w:bottom w:val="single" w:sz="6" w:space="0" w:color="000000"/>
            </w:tcBorders>
            <w:shd w:val="clear" w:color="auto" w:fill="FFE699"/>
          </w:tcPr>
          <w:p>
            <w:pPr>
              <w:pStyle w:val="TableParagraph"/>
              <w:spacing w:line="268" w:lineRule="exact" w:before="209"/>
              <w:ind w:left="485" w:right="485"/>
              <w:rPr>
                <w:b/>
                <w:sz w:val="24"/>
              </w:rPr>
            </w:pPr>
            <w:r>
              <w:rPr>
                <w:b/>
                <w:sz w:val="24"/>
              </w:rPr>
              <w:t>$5,400</w:t>
            </w:r>
          </w:p>
        </w:tc>
      </w:tr>
      <w:tr>
        <w:trPr>
          <w:trHeight w:val="260" w:hRule="atLeast"/>
        </w:trPr>
        <w:tc>
          <w:tcPr>
            <w:tcW w:w="5752" w:type="dxa"/>
            <w:tcBorders>
              <w:top w:val="single" w:sz="6" w:space="0" w:color="000000"/>
            </w:tcBorders>
            <w:shd w:val="clear" w:color="auto" w:fill="FFE699"/>
          </w:tcPr>
          <w:p>
            <w:pPr>
              <w:pStyle w:val="TableParagraph"/>
              <w:spacing w:line="234" w:lineRule="exact" w:before="24"/>
              <w:ind w:left="378" w:right="316"/>
              <w:rPr>
                <w:b/>
                <w:sz w:val="22"/>
              </w:rPr>
            </w:pPr>
            <w:r>
              <w:rPr>
                <w:b/>
                <w:sz w:val="22"/>
              </w:rPr>
              <w:t>Consulting Agreement with Board Members</w:t>
            </w:r>
          </w:p>
        </w:tc>
        <w:tc>
          <w:tcPr>
            <w:tcW w:w="1800" w:type="dxa"/>
            <w:tcBorders>
              <w:top w:val="single" w:sz="6" w:space="0" w:color="000000"/>
            </w:tcBorders>
            <w:shd w:val="clear" w:color="auto" w:fill="FFE699"/>
          </w:tcPr>
          <w:p>
            <w:pPr>
              <w:pStyle w:val="TableParagraph"/>
              <w:spacing w:line="258" w:lineRule="exact"/>
              <w:ind w:left="373" w:right="373"/>
              <w:rPr>
                <w:b/>
                <w:sz w:val="24"/>
              </w:rPr>
            </w:pPr>
            <w:r>
              <w:rPr>
                <w:b/>
                <w:sz w:val="24"/>
              </w:rPr>
              <w:t>$90,000</w:t>
            </w:r>
          </w:p>
        </w:tc>
        <w:tc>
          <w:tcPr>
            <w:tcW w:w="1889" w:type="dxa"/>
            <w:tcBorders>
              <w:top w:val="single" w:sz="6" w:space="0" w:color="000000"/>
            </w:tcBorders>
            <w:shd w:val="clear" w:color="auto" w:fill="FFE699"/>
          </w:tcPr>
          <w:p>
            <w:pPr>
              <w:pStyle w:val="TableParagraph"/>
              <w:spacing w:line="258" w:lineRule="exact"/>
              <w:ind w:left="485" w:right="485"/>
              <w:rPr>
                <w:b/>
                <w:sz w:val="24"/>
              </w:rPr>
            </w:pPr>
            <w:r>
              <w:rPr>
                <w:b/>
                <w:sz w:val="24"/>
              </w:rPr>
              <w:t>$56,500</w:t>
            </w:r>
          </w:p>
        </w:tc>
      </w:tr>
      <w:tr>
        <w:trPr>
          <w:trHeight w:val="500" w:hRule="atLeast"/>
        </w:trPr>
        <w:tc>
          <w:tcPr>
            <w:tcW w:w="5752" w:type="dxa"/>
            <w:shd w:val="clear" w:color="auto" w:fill="FFE699"/>
          </w:tcPr>
          <w:p>
            <w:pPr>
              <w:pStyle w:val="TableParagraph"/>
              <w:spacing w:line="240" w:lineRule="exact" w:before="7"/>
              <w:ind w:left="2618" w:right="347" w:hanging="2194"/>
              <w:jc w:val="left"/>
              <w:rPr>
                <w:b/>
                <w:sz w:val="22"/>
              </w:rPr>
            </w:pPr>
            <w:r>
              <w:rPr>
                <w:b/>
                <w:sz w:val="22"/>
              </w:rPr>
              <w:t>Loan to Company Owned by Board Members at 5.5%</w:t>
            </w:r>
          </w:p>
        </w:tc>
        <w:tc>
          <w:tcPr>
            <w:tcW w:w="1800" w:type="dxa"/>
            <w:shd w:val="clear" w:color="auto" w:fill="FFE699"/>
          </w:tcPr>
          <w:p>
            <w:pPr>
              <w:pStyle w:val="TableParagraph"/>
              <w:spacing w:line="271" w:lineRule="exact" w:before="209"/>
              <w:ind w:left="373" w:right="373"/>
              <w:rPr>
                <w:b/>
                <w:sz w:val="24"/>
              </w:rPr>
            </w:pPr>
            <w:r>
              <w:rPr>
                <w:b/>
                <w:sz w:val="24"/>
              </w:rPr>
              <w:t>$40,000</w:t>
            </w:r>
          </w:p>
        </w:tc>
        <w:tc>
          <w:tcPr>
            <w:tcW w:w="1889" w:type="dxa"/>
            <w:shd w:val="clear" w:color="auto" w:fill="FFE699"/>
          </w:tcPr>
          <w:p>
            <w:pPr>
              <w:pStyle w:val="TableParagraph"/>
              <w:spacing w:line="271" w:lineRule="exact" w:before="209"/>
              <w:ind w:left="485" w:right="485"/>
              <w:rPr>
                <w:b/>
                <w:sz w:val="24"/>
              </w:rPr>
            </w:pPr>
            <w:r>
              <w:rPr>
                <w:b/>
                <w:sz w:val="24"/>
              </w:rPr>
              <w:t>$16,667</w:t>
            </w:r>
          </w:p>
        </w:tc>
      </w:tr>
      <w:tr>
        <w:trPr>
          <w:trHeight w:val="500" w:hRule="atLeast"/>
        </w:trPr>
        <w:tc>
          <w:tcPr>
            <w:tcW w:w="5752" w:type="dxa"/>
            <w:shd w:val="clear" w:color="auto" w:fill="FFE699"/>
          </w:tcPr>
          <w:p>
            <w:pPr>
              <w:pStyle w:val="TableParagraph"/>
              <w:spacing w:line="240" w:lineRule="exact" w:before="8"/>
              <w:ind w:left="2119" w:right="156" w:hanging="1884"/>
              <w:jc w:val="left"/>
              <w:rPr>
                <w:b/>
                <w:sz w:val="22"/>
              </w:rPr>
            </w:pPr>
            <w:r>
              <w:rPr>
                <w:b/>
                <w:sz w:val="22"/>
              </w:rPr>
              <w:t>Lease Agreement with American Basic School LLC SAME BOARD</w:t>
            </w:r>
          </w:p>
        </w:tc>
        <w:tc>
          <w:tcPr>
            <w:tcW w:w="1800" w:type="dxa"/>
            <w:shd w:val="clear" w:color="auto" w:fill="FFE699"/>
          </w:tcPr>
          <w:p>
            <w:pPr>
              <w:pStyle w:val="TableParagraph"/>
              <w:spacing w:line="270" w:lineRule="exact" w:before="210"/>
              <w:ind w:left="373" w:right="373"/>
              <w:rPr>
                <w:b/>
                <w:sz w:val="24"/>
              </w:rPr>
            </w:pPr>
            <w:r>
              <w:rPr>
                <w:b/>
                <w:sz w:val="24"/>
              </w:rPr>
              <w:t>$78,760</w:t>
            </w:r>
          </w:p>
        </w:tc>
        <w:tc>
          <w:tcPr>
            <w:tcW w:w="1889" w:type="dxa"/>
            <w:shd w:val="clear" w:color="auto" w:fill="FFE699"/>
          </w:tcPr>
          <w:p>
            <w:pPr>
              <w:pStyle w:val="TableParagraph"/>
              <w:spacing w:line="270" w:lineRule="exact" w:before="210"/>
              <w:ind w:left="485" w:right="485"/>
              <w:rPr>
                <w:b/>
                <w:sz w:val="24"/>
              </w:rPr>
            </w:pPr>
            <w:r>
              <w:rPr>
                <w:b/>
                <w:sz w:val="24"/>
              </w:rPr>
              <w:t>$44,684</w:t>
            </w:r>
          </w:p>
        </w:tc>
      </w:tr>
      <w:tr>
        <w:trPr>
          <w:trHeight w:val="280" w:hRule="atLeast"/>
        </w:trPr>
        <w:tc>
          <w:tcPr>
            <w:tcW w:w="5752" w:type="dxa"/>
            <w:shd w:val="clear" w:color="auto" w:fill="FFE699"/>
          </w:tcPr>
          <w:p>
            <w:pPr>
              <w:pStyle w:val="TableParagraph"/>
              <w:spacing w:line="234" w:lineRule="exact" w:before="26"/>
              <w:ind w:left="378" w:right="323"/>
              <w:rPr>
                <w:b/>
                <w:sz w:val="22"/>
              </w:rPr>
            </w:pPr>
            <w:r>
              <w:rPr>
                <w:b/>
                <w:sz w:val="22"/>
              </w:rPr>
              <w:t>Company Owned by Two of the Board Members</w:t>
            </w:r>
          </w:p>
        </w:tc>
        <w:tc>
          <w:tcPr>
            <w:tcW w:w="1800" w:type="dxa"/>
            <w:tcBorders>
              <w:bottom w:val="nil"/>
            </w:tcBorders>
            <w:shd w:val="clear" w:color="auto" w:fill="FFE699"/>
          </w:tcPr>
          <w:p>
            <w:pPr>
              <w:pStyle w:val="TableParagraph"/>
              <w:spacing w:line="258" w:lineRule="exact" w:before="2"/>
              <w:ind w:left="373" w:right="373"/>
              <w:rPr>
                <w:b/>
                <w:sz w:val="24"/>
              </w:rPr>
            </w:pPr>
            <w:r>
              <w:rPr>
                <w:b/>
                <w:sz w:val="24"/>
              </w:rPr>
              <w:t>$4,483</w:t>
            </w:r>
          </w:p>
        </w:tc>
        <w:tc>
          <w:tcPr>
            <w:tcW w:w="1889" w:type="dxa"/>
            <w:shd w:val="clear" w:color="auto" w:fill="FFE699"/>
          </w:tcPr>
          <w:p>
            <w:pPr>
              <w:pStyle w:val="TableParagraph"/>
              <w:jc w:val="left"/>
              <w:rPr>
                <w:rFonts w:ascii="Times New Roman"/>
                <w:sz w:val="20"/>
              </w:rPr>
            </w:pPr>
          </w:p>
        </w:tc>
      </w:tr>
      <w:tr>
        <w:trPr>
          <w:trHeight w:val="280" w:hRule="atLeast"/>
        </w:trPr>
        <w:tc>
          <w:tcPr>
            <w:tcW w:w="5752" w:type="dxa"/>
            <w:shd w:val="clear" w:color="auto" w:fill="FFE699"/>
          </w:tcPr>
          <w:p>
            <w:pPr>
              <w:pStyle w:val="TableParagraph"/>
              <w:spacing w:line="234" w:lineRule="exact" w:before="26"/>
              <w:ind w:left="378" w:right="317"/>
              <w:rPr>
                <w:b/>
                <w:sz w:val="22"/>
              </w:rPr>
            </w:pPr>
            <w:r>
              <w:rPr>
                <w:b/>
                <w:sz w:val="22"/>
              </w:rPr>
              <w:t>Services Provided by BB and Purchases</w:t>
            </w:r>
          </w:p>
        </w:tc>
        <w:tc>
          <w:tcPr>
            <w:tcW w:w="1800" w:type="dxa"/>
            <w:tcBorders>
              <w:top w:val="nil"/>
            </w:tcBorders>
            <w:shd w:val="clear" w:color="auto" w:fill="FFE699"/>
          </w:tcPr>
          <w:p>
            <w:pPr>
              <w:pStyle w:val="TableParagraph"/>
              <w:spacing w:line="258" w:lineRule="exact" w:before="2"/>
              <w:ind w:left="373" w:right="373"/>
              <w:rPr>
                <w:b/>
                <w:sz w:val="24"/>
              </w:rPr>
            </w:pPr>
            <w:r>
              <w:rPr>
                <w:b/>
                <w:sz w:val="24"/>
              </w:rPr>
              <w:t>$835</w:t>
            </w:r>
          </w:p>
        </w:tc>
        <w:tc>
          <w:tcPr>
            <w:tcW w:w="1889" w:type="dxa"/>
            <w:shd w:val="clear" w:color="auto" w:fill="FFE699"/>
          </w:tcPr>
          <w:p>
            <w:pPr>
              <w:pStyle w:val="TableParagraph"/>
              <w:spacing w:line="258" w:lineRule="exact" w:before="2"/>
              <w:ind w:left="485" w:right="485"/>
              <w:rPr>
                <w:b/>
                <w:sz w:val="24"/>
              </w:rPr>
            </w:pPr>
            <w:r>
              <w:rPr>
                <w:b/>
                <w:sz w:val="24"/>
              </w:rPr>
              <w:t>$20,240</w:t>
            </w:r>
          </w:p>
        </w:tc>
      </w:tr>
      <w:tr>
        <w:trPr>
          <w:trHeight w:val="280" w:hRule="atLeast"/>
        </w:trPr>
        <w:tc>
          <w:tcPr>
            <w:tcW w:w="5752" w:type="dxa"/>
            <w:shd w:val="clear" w:color="auto" w:fill="FFE699"/>
          </w:tcPr>
          <w:p>
            <w:pPr>
              <w:pStyle w:val="TableParagraph"/>
              <w:spacing w:line="251" w:lineRule="exact" w:before="28"/>
              <w:ind w:left="378" w:right="317"/>
              <w:rPr>
                <w:b/>
                <w:sz w:val="22"/>
              </w:rPr>
            </w:pPr>
            <w:r>
              <w:rPr>
                <w:b/>
                <w:sz w:val="22"/>
              </w:rPr>
              <w:t>Services Provided by BB and Purchases</w:t>
            </w:r>
          </w:p>
        </w:tc>
        <w:tc>
          <w:tcPr>
            <w:tcW w:w="1800" w:type="dxa"/>
            <w:shd w:val="clear" w:color="auto" w:fill="FFE699"/>
          </w:tcPr>
          <w:p>
            <w:pPr>
              <w:pStyle w:val="TableParagraph"/>
              <w:spacing w:before="2"/>
              <w:ind w:left="373" w:right="373"/>
              <w:rPr>
                <w:b/>
                <w:sz w:val="24"/>
              </w:rPr>
            </w:pPr>
            <w:r>
              <w:rPr>
                <w:b/>
                <w:sz w:val="24"/>
              </w:rPr>
              <w:t>$6,630</w:t>
            </w:r>
          </w:p>
        </w:tc>
        <w:tc>
          <w:tcPr>
            <w:tcW w:w="1889" w:type="dxa"/>
            <w:shd w:val="clear" w:color="auto" w:fill="FFE699"/>
          </w:tcPr>
          <w:p>
            <w:pPr>
              <w:pStyle w:val="TableParagraph"/>
              <w:jc w:val="left"/>
              <w:rPr>
                <w:rFonts w:ascii="Times New Roman"/>
                <w:sz w:val="22"/>
              </w:rPr>
            </w:pPr>
          </w:p>
        </w:tc>
      </w:tr>
    </w:tbl>
    <w:p>
      <w:pPr>
        <w:spacing w:after="0"/>
        <w:jc w:val="left"/>
        <w:rPr>
          <w:rFonts w:ascii="Times New Roman"/>
          <w:sz w:val="22"/>
        </w:rPr>
        <w:sectPr>
          <w:pgSz w:w="12240" w:h="15840"/>
          <w:pgMar w:header="740" w:footer="1002" w:top="940" w:bottom="1200" w:left="1220" w:right="1340"/>
        </w:sectPr>
      </w:pPr>
    </w:p>
    <w:p>
      <w:pPr>
        <w:pStyle w:val="BodyText"/>
        <w:rPr>
          <w:rFonts w:ascii="Times New Roman"/>
          <w:sz w:val="20"/>
        </w:rPr>
      </w:pPr>
    </w:p>
    <w:p>
      <w:pPr>
        <w:pStyle w:val="BodyText"/>
        <w:spacing w:before="2"/>
        <w:rPr>
          <w:rFonts w:ascii="Times New Roman"/>
          <w:sz w:val="22"/>
        </w:rPr>
      </w:pPr>
    </w:p>
    <w:p>
      <w:pPr>
        <w:pStyle w:val="BodyText"/>
        <w:ind w:left="2740"/>
        <w:rPr>
          <w:rFonts w:ascii="Times New Roman"/>
          <w:sz w:val="20"/>
        </w:rPr>
      </w:pPr>
      <w:r>
        <w:rPr>
          <w:rFonts w:ascii="Times New Roman"/>
          <w:sz w:val="20"/>
        </w:rPr>
        <w:drawing>
          <wp:inline distT="0" distB="0" distL="0" distR="0">
            <wp:extent cx="2745233" cy="914400"/>
            <wp:effectExtent l="0" t="0" r="0" b="0"/>
            <wp:docPr id="29" name="image3.jpeg" descr=""/>
            <wp:cNvGraphicFramePr>
              <a:graphicFrameLocks noChangeAspect="1"/>
            </wp:cNvGraphicFramePr>
            <a:graphic>
              <a:graphicData uri="http://schemas.openxmlformats.org/drawingml/2006/picture">
                <pic:pic>
                  <pic:nvPicPr>
                    <pic:cNvPr id="30" name="image3.jpeg"/>
                    <pic:cNvPicPr/>
                  </pic:nvPicPr>
                  <pic:blipFill>
                    <a:blip r:embed="rId11" cstate="print"/>
                    <a:stretch>
                      <a:fillRect/>
                    </a:stretch>
                  </pic:blipFill>
                  <pic:spPr>
                    <a:xfrm>
                      <a:off x="0" y="0"/>
                      <a:ext cx="2745233" cy="914400"/>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6"/>
        <w:rPr>
          <w:rFonts w:ascii="Times New Roman"/>
          <w:sz w:val="10"/>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89"/>
        <w:gridCol w:w="4789"/>
      </w:tblGrid>
      <w:tr>
        <w:trPr>
          <w:trHeight w:val="520" w:hRule="atLeast"/>
        </w:trPr>
        <w:tc>
          <w:tcPr>
            <w:tcW w:w="4789" w:type="dxa"/>
            <w:shd w:val="clear" w:color="auto" w:fill="000000"/>
          </w:tcPr>
          <w:p>
            <w:pPr>
              <w:pStyle w:val="TableParagraph"/>
              <w:spacing w:before="7"/>
              <w:ind w:left="1941" w:right="1941"/>
              <w:rPr>
                <w:b/>
                <w:sz w:val="24"/>
              </w:rPr>
            </w:pPr>
            <w:bookmarkStart w:name="_bookmark43" w:id="44"/>
            <w:bookmarkEnd w:id="44"/>
            <w:r>
              <w:rPr/>
            </w:r>
            <w:r>
              <w:rPr>
                <w:b/>
                <w:color w:val="FFFFFF"/>
                <w:sz w:val="24"/>
              </w:rPr>
              <w:t>Finding</w:t>
            </w:r>
          </w:p>
        </w:tc>
        <w:tc>
          <w:tcPr>
            <w:tcW w:w="4789" w:type="dxa"/>
            <w:shd w:val="clear" w:color="auto" w:fill="000000"/>
          </w:tcPr>
          <w:p>
            <w:pPr>
              <w:pStyle w:val="TableParagraph"/>
              <w:spacing w:before="7"/>
              <w:ind w:left="1320"/>
              <w:jc w:val="left"/>
              <w:rPr>
                <w:b/>
                <w:sz w:val="24"/>
              </w:rPr>
            </w:pPr>
            <w:r>
              <w:rPr>
                <w:b/>
                <w:color w:val="FFFFFF"/>
                <w:sz w:val="24"/>
              </w:rPr>
              <w:t>Recommendations</w:t>
            </w:r>
          </w:p>
        </w:tc>
      </w:tr>
      <w:tr>
        <w:trPr>
          <w:trHeight w:val="9840" w:hRule="atLeast"/>
        </w:trPr>
        <w:tc>
          <w:tcPr>
            <w:tcW w:w="4789" w:type="dxa"/>
            <w:tcBorders>
              <w:left w:val="single" w:sz="4" w:space="0" w:color="000000"/>
              <w:bottom w:val="single" w:sz="4" w:space="0" w:color="000000"/>
              <w:right w:val="single" w:sz="4" w:space="0" w:color="000000"/>
            </w:tcBorders>
          </w:tcPr>
          <w:p>
            <w:pPr>
              <w:pStyle w:val="TableParagraph"/>
              <w:spacing w:line="276" w:lineRule="auto"/>
              <w:ind w:left="103" w:right="94"/>
              <w:jc w:val="both"/>
              <w:rPr>
                <w:sz w:val="24"/>
              </w:rPr>
            </w:pPr>
            <w:r>
              <w:rPr>
                <w:sz w:val="24"/>
              </w:rPr>
              <w:t>Administrative Compensation is excessive—and given other organizational ways</w:t>
            </w:r>
            <w:r>
              <w:rPr>
                <w:spacing w:val="-16"/>
                <w:sz w:val="24"/>
              </w:rPr>
              <w:t> </w:t>
            </w:r>
            <w:r>
              <w:rPr>
                <w:sz w:val="24"/>
              </w:rPr>
              <w:t>of</w:t>
            </w:r>
            <w:r>
              <w:rPr>
                <w:spacing w:val="-18"/>
                <w:sz w:val="24"/>
              </w:rPr>
              <w:t> </w:t>
            </w:r>
            <w:r>
              <w:rPr>
                <w:sz w:val="24"/>
              </w:rPr>
              <w:t>funneling</w:t>
            </w:r>
            <w:r>
              <w:rPr>
                <w:spacing w:val="-20"/>
                <w:sz w:val="24"/>
              </w:rPr>
              <w:t> </w:t>
            </w:r>
            <w:r>
              <w:rPr>
                <w:sz w:val="24"/>
              </w:rPr>
              <w:t>money,</w:t>
            </w:r>
            <w:r>
              <w:rPr>
                <w:spacing w:val="-16"/>
                <w:sz w:val="24"/>
              </w:rPr>
              <w:t> </w:t>
            </w:r>
            <w:r>
              <w:rPr>
                <w:sz w:val="24"/>
              </w:rPr>
              <w:t>these</w:t>
            </w:r>
            <w:r>
              <w:rPr>
                <w:spacing w:val="-20"/>
                <w:sz w:val="24"/>
              </w:rPr>
              <w:t> </w:t>
            </w:r>
            <w:r>
              <w:rPr>
                <w:sz w:val="24"/>
              </w:rPr>
              <w:t>figures</w:t>
            </w:r>
            <w:r>
              <w:rPr>
                <w:spacing w:val="-19"/>
                <w:sz w:val="24"/>
              </w:rPr>
              <w:t> </w:t>
            </w:r>
            <w:r>
              <w:rPr>
                <w:sz w:val="24"/>
              </w:rPr>
              <w:t>may understate full compensation. For- profit charters do not disclose compensation and for-profit related organizations do not disclose</w:t>
            </w:r>
            <w:r>
              <w:rPr>
                <w:spacing w:val="-8"/>
                <w:sz w:val="24"/>
              </w:rPr>
              <w:t> </w:t>
            </w:r>
            <w:r>
              <w:rPr>
                <w:sz w:val="24"/>
              </w:rPr>
              <w:t>compensation.</w:t>
            </w:r>
          </w:p>
        </w:tc>
        <w:tc>
          <w:tcPr>
            <w:tcW w:w="4789" w:type="dxa"/>
            <w:tcBorders>
              <w:left w:val="single" w:sz="4" w:space="0" w:color="000000"/>
              <w:bottom w:val="single" w:sz="4" w:space="0" w:color="000000"/>
              <w:right w:val="single" w:sz="4" w:space="0" w:color="000000"/>
            </w:tcBorders>
          </w:tcPr>
          <w:p>
            <w:pPr>
              <w:pStyle w:val="TableParagraph"/>
              <w:numPr>
                <w:ilvl w:val="0"/>
                <w:numId w:val="10"/>
              </w:numPr>
              <w:tabs>
                <w:tab w:pos="420" w:val="left" w:leader="none"/>
              </w:tabs>
              <w:spacing w:line="259" w:lineRule="auto" w:before="0" w:after="0"/>
              <w:ind w:left="419" w:right="93" w:hanging="268"/>
              <w:jc w:val="both"/>
              <w:rPr>
                <w:b/>
                <w:sz w:val="24"/>
              </w:rPr>
            </w:pPr>
            <w:r>
              <w:rPr>
                <w:sz w:val="24"/>
              </w:rPr>
              <w:t>Audits need to include compensation to non-instructional personnel in an administrative or ownership capacity. Compensation should be benchmarked by similar personnel in public school districts</w:t>
            </w:r>
            <w:r>
              <w:rPr>
                <w:spacing w:val="-10"/>
                <w:sz w:val="24"/>
              </w:rPr>
              <w:t> </w:t>
            </w:r>
            <w:r>
              <w:rPr>
                <w:sz w:val="24"/>
              </w:rPr>
              <w:t>with</w:t>
            </w:r>
            <w:r>
              <w:rPr>
                <w:spacing w:val="-11"/>
                <w:sz w:val="24"/>
              </w:rPr>
              <w:t> </w:t>
            </w:r>
            <w:r>
              <w:rPr>
                <w:sz w:val="24"/>
              </w:rPr>
              <w:t>less</w:t>
            </w:r>
            <w:r>
              <w:rPr>
                <w:spacing w:val="-11"/>
                <w:sz w:val="24"/>
              </w:rPr>
              <w:t> </w:t>
            </w:r>
            <w:r>
              <w:rPr>
                <w:sz w:val="24"/>
              </w:rPr>
              <w:t>than</w:t>
            </w:r>
            <w:r>
              <w:rPr>
                <w:spacing w:val="-15"/>
                <w:sz w:val="24"/>
              </w:rPr>
              <w:t> </w:t>
            </w:r>
            <w:r>
              <w:rPr>
                <w:sz w:val="24"/>
              </w:rPr>
              <w:t>1,000</w:t>
            </w:r>
            <w:r>
              <w:rPr>
                <w:spacing w:val="-11"/>
                <w:sz w:val="24"/>
              </w:rPr>
              <w:t> </w:t>
            </w:r>
            <w:r>
              <w:rPr>
                <w:sz w:val="24"/>
              </w:rPr>
              <w:t>students</w:t>
            </w:r>
            <w:r>
              <w:rPr>
                <w:spacing w:val="-16"/>
                <w:sz w:val="24"/>
              </w:rPr>
              <w:t> </w:t>
            </w:r>
            <w:r>
              <w:rPr>
                <w:sz w:val="24"/>
              </w:rPr>
              <w:t>for small charters with less than 600 students. For charters with more students, the benchmark threshold should</w:t>
            </w:r>
            <w:r>
              <w:rPr>
                <w:spacing w:val="-9"/>
                <w:sz w:val="24"/>
              </w:rPr>
              <w:t> </w:t>
            </w:r>
            <w:r>
              <w:rPr>
                <w:sz w:val="24"/>
              </w:rPr>
              <w:t>be</w:t>
            </w:r>
            <w:r>
              <w:rPr>
                <w:spacing w:val="-8"/>
                <w:sz w:val="24"/>
              </w:rPr>
              <w:t> </w:t>
            </w:r>
            <w:r>
              <w:rPr>
                <w:sz w:val="24"/>
              </w:rPr>
              <w:t>set</w:t>
            </w:r>
            <w:r>
              <w:rPr>
                <w:spacing w:val="-9"/>
                <w:sz w:val="24"/>
              </w:rPr>
              <w:t> </w:t>
            </w:r>
            <w:r>
              <w:rPr>
                <w:sz w:val="24"/>
              </w:rPr>
              <w:t>no</w:t>
            </w:r>
            <w:r>
              <w:rPr>
                <w:spacing w:val="-8"/>
                <w:sz w:val="24"/>
              </w:rPr>
              <w:t> </w:t>
            </w:r>
            <w:r>
              <w:rPr>
                <w:sz w:val="24"/>
              </w:rPr>
              <w:t>higher</w:t>
            </w:r>
            <w:r>
              <w:rPr>
                <w:spacing w:val="-7"/>
                <w:sz w:val="24"/>
              </w:rPr>
              <w:t> </w:t>
            </w:r>
            <w:r>
              <w:rPr>
                <w:sz w:val="24"/>
              </w:rPr>
              <w:t>than</w:t>
            </w:r>
            <w:r>
              <w:rPr>
                <w:spacing w:val="-8"/>
                <w:sz w:val="24"/>
              </w:rPr>
              <w:t> </w:t>
            </w:r>
            <w:r>
              <w:rPr>
                <w:sz w:val="24"/>
              </w:rPr>
              <w:t>50%</w:t>
            </w:r>
            <w:r>
              <w:rPr>
                <w:spacing w:val="-7"/>
                <w:sz w:val="24"/>
              </w:rPr>
              <w:t> </w:t>
            </w:r>
            <w:r>
              <w:rPr>
                <w:sz w:val="24"/>
              </w:rPr>
              <w:t>above the total number of students enrolled in the charter. The audit should provide sufficient documentation to justify the total compensation received. This analysis</w:t>
            </w:r>
            <w:r>
              <w:rPr>
                <w:spacing w:val="-13"/>
                <w:sz w:val="24"/>
              </w:rPr>
              <w:t> </w:t>
            </w:r>
            <w:r>
              <w:rPr>
                <w:sz w:val="24"/>
              </w:rPr>
              <w:t>needs</w:t>
            </w:r>
            <w:r>
              <w:rPr>
                <w:spacing w:val="-15"/>
                <w:sz w:val="24"/>
              </w:rPr>
              <w:t> </w:t>
            </w:r>
            <w:r>
              <w:rPr>
                <w:sz w:val="24"/>
              </w:rPr>
              <w:t>to</w:t>
            </w:r>
            <w:r>
              <w:rPr>
                <w:spacing w:val="-14"/>
                <w:sz w:val="24"/>
              </w:rPr>
              <w:t> </w:t>
            </w:r>
            <w:r>
              <w:rPr>
                <w:sz w:val="24"/>
              </w:rPr>
              <w:t>consider</w:t>
            </w:r>
            <w:r>
              <w:rPr>
                <w:spacing w:val="-13"/>
                <w:sz w:val="24"/>
              </w:rPr>
              <w:t> </w:t>
            </w:r>
            <w:r>
              <w:rPr>
                <w:sz w:val="24"/>
              </w:rPr>
              <w:t>ALL</w:t>
            </w:r>
            <w:r>
              <w:rPr>
                <w:spacing w:val="-14"/>
                <w:sz w:val="24"/>
              </w:rPr>
              <w:t> </w:t>
            </w:r>
            <w:r>
              <w:rPr>
                <w:sz w:val="24"/>
              </w:rPr>
              <w:t>methods that</w:t>
            </w:r>
            <w:r>
              <w:rPr>
                <w:spacing w:val="-16"/>
                <w:sz w:val="24"/>
              </w:rPr>
              <w:t> </w:t>
            </w:r>
            <w:r>
              <w:rPr>
                <w:sz w:val="24"/>
              </w:rPr>
              <w:t>ownership</w:t>
            </w:r>
            <w:r>
              <w:rPr>
                <w:spacing w:val="-13"/>
                <w:sz w:val="24"/>
              </w:rPr>
              <w:t> </w:t>
            </w:r>
            <w:r>
              <w:rPr>
                <w:sz w:val="24"/>
              </w:rPr>
              <w:t>and</w:t>
            </w:r>
            <w:r>
              <w:rPr>
                <w:spacing w:val="-16"/>
                <w:sz w:val="24"/>
              </w:rPr>
              <w:t> </w:t>
            </w:r>
            <w:r>
              <w:rPr>
                <w:sz w:val="24"/>
              </w:rPr>
              <w:t>administrators</w:t>
            </w:r>
            <w:r>
              <w:rPr>
                <w:spacing w:val="-15"/>
                <w:sz w:val="24"/>
              </w:rPr>
              <w:t> </w:t>
            </w:r>
            <w:r>
              <w:rPr>
                <w:sz w:val="24"/>
              </w:rPr>
              <w:t>use</w:t>
            </w:r>
            <w:r>
              <w:rPr>
                <w:spacing w:val="-15"/>
                <w:sz w:val="24"/>
              </w:rPr>
              <w:t> </w:t>
            </w:r>
            <w:r>
              <w:rPr>
                <w:sz w:val="24"/>
              </w:rPr>
              <w:t>to compensate themselves including in</w:t>
            </w:r>
            <w:r>
              <w:rPr>
                <w:spacing w:val="-30"/>
                <w:sz w:val="24"/>
              </w:rPr>
              <w:t> </w:t>
            </w:r>
            <w:r>
              <w:rPr>
                <w:sz w:val="24"/>
              </w:rPr>
              <w:t>for- profit</w:t>
            </w:r>
            <w:r>
              <w:rPr>
                <w:spacing w:val="-4"/>
                <w:sz w:val="24"/>
              </w:rPr>
              <w:t> </w:t>
            </w:r>
            <w:r>
              <w:rPr>
                <w:sz w:val="24"/>
              </w:rPr>
              <w:t>subsidiaries</w:t>
            </w:r>
            <w:r>
              <w:rPr>
                <w:b/>
                <w:sz w:val="24"/>
              </w:rPr>
              <w:t>.</w:t>
            </w:r>
          </w:p>
          <w:p>
            <w:pPr>
              <w:pStyle w:val="TableParagraph"/>
              <w:numPr>
                <w:ilvl w:val="0"/>
                <w:numId w:val="10"/>
              </w:numPr>
              <w:tabs>
                <w:tab w:pos="420" w:val="left" w:leader="none"/>
              </w:tabs>
              <w:spacing w:line="259" w:lineRule="auto" w:before="165" w:after="0"/>
              <w:ind w:left="419" w:right="92" w:hanging="268"/>
              <w:jc w:val="both"/>
              <w:rPr>
                <w:sz w:val="24"/>
              </w:rPr>
            </w:pPr>
            <w:r>
              <w:rPr>
                <w:sz w:val="24"/>
              </w:rPr>
              <w:t>Likewise, any non-instructional personnel that are technically employed by the for-profit arm of a charter operation needs to have costs fully broken down in the audit, including all salary, benefit, and consulting services with a market-based justification for the costs.</w:t>
            </w:r>
          </w:p>
          <w:p>
            <w:pPr>
              <w:pStyle w:val="TableParagraph"/>
              <w:spacing w:before="10"/>
              <w:jc w:val="left"/>
              <w:rPr>
                <w:rFonts w:ascii="Times New Roman"/>
                <w:sz w:val="25"/>
              </w:rPr>
            </w:pPr>
          </w:p>
          <w:p>
            <w:pPr>
              <w:pStyle w:val="TableParagraph"/>
              <w:numPr>
                <w:ilvl w:val="0"/>
                <w:numId w:val="10"/>
              </w:numPr>
              <w:tabs>
                <w:tab w:pos="456" w:val="left" w:leader="none"/>
              </w:tabs>
              <w:spacing w:line="259" w:lineRule="auto" w:before="0" w:after="0"/>
              <w:ind w:left="455" w:right="97" w:hanging="271"/>
              <w:jc w:val="both"/>
              <w:rPr>
                <w:sz w:val="24"/>
              </w:rPr>
            </w:pPr>
            <w:r>
              <w:rPr>
                <w:sz w:val="24"/>
              </w:rPr>
              <w:t>Charter school financial data needs to be shared with and monitored by the Auditor General’s Office just as they</w:t>
            </w:r>
            <w:r>
              <w:rPr>
                <w:spacing w:val="-37"/>
                <w:sz w:val="24"/>
              </w:rPr>
              <w:t> </w:t>
            </w:r>
            <w:r>
              <w:rPr>
                <w:sz w:val="24"/>
              </w:rPr>
              <w:t>are for public district</w:t>
            </w:r>
            <w:r>
              <w:rPr>
                <w:spacing w:val="-18"/>
                <w:sz w:val="24"/>
              </w:rPr>
              <w:t> </w:t>
            </w:r>
            <w:r>
              <w:rPr>
                <w:sz w:val="24"/>
              </w:rPr>
              <w:t>schools.</w:t>
            </w:r>
          </w:p>
        </w:tc>
      </w:tr>
    </w:tbl>
    <w:p>
      <w:pPr>
        <w:spacing w:after="0" w:line="259" w:lineRule="auto"/>
        <w:jc w:val="both"/>
        <w:rPr>
          <w:sz w:val="24"/>
        </w:rPr>
        <w:sectPr>
          <w:pgSz w:w="12240" w:h="15840"/>
          <w:pgMar w:header="740" w:footer="1002" w:top="940" w:bottom="1200" w:left="1220" w:right="1220"/>
        </w:sectPr>
      </w:pPr>
    </w:p>
    <w:p>
      <w:pPr>
        <w:pStyle w:val="BodyText"/>
        <w:rPr>
          <w:rFonts w:ascii="Times New Roman"/>
          <w:sz w:val="20"/>
        </w:rPr>
      </w:pPr>
    </w:p>
    <w:p>
      <w:pPr>
        <w:pStyle w:val="BodyText"/>
        <w:spacing w:before="7"/>
        <w:rPr>
          <w:rFonts w:ascii="Times New Roman"/>
          <w:sz w:val="21"/>
        </w:rPr>
      </w:pPr>
    </w:p>
    <w:p>
      <w:pPr>
        <w:pStyle w:val="BodyText"/>
        <w:spacing w:line="278" w:lineRule="auto"/>
        <w:ind w:left="220"/>
        <w:rPr>
          <w:sz w:val="22"/>
        </w:rPr>
      </w:pPr>
      <w:r>
        <w:rPr>
          <w:b/>
        </w:rPr>
        <w:t>The Good: </w:t>
      </w:r>
      <w:r>
        <w:rPr/>
        <w:t>Charter management teams that pay themselves comparable salaries to districts of the same size represent good practice in the charter sector.</w:t>
      </w:r>
      <w:r>
        <w:rPr>
          <w:sz w:val="22"/>
        </w:rPr>
        <w:t>.</w:t>
      </w:r>
    </w:p>
    <w:p>
      <w:pPr>
        <w:pStyle w:val="BodyText"/>
        <w:spacing w:before="7"/>
        <w:rPr>
          <w:sz w:val="17"/>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58"/>
        <w:gridCol w:w="3068"/>
        <w:gridCol w:w="2847"/>
      </w:tblGrid>
      <w:tr>
        <w:trPr>
          <w:trHeight w:val="700" w:hRule="atLeast"/>
        </w:trPr>
        <w:tc>
          <w:tcPr>
            <w:tcW w:w="2958" w:type="dxa"/>
          </w:tcPr>
          <w:p>
            <w:pPr>
              <w:pStyle w:val="TableParagraph"/>
              <w:spacing w:line="242" w:lineRule="auto"/>
              <w:ind w:left="103" w:right="746"/>
              <w:jc w:val="left"/>
              <w:rPr>
                <w:b/>
                <w:sz w:val="22"/>
              </w:rPr>
            </w:pPr>
            <w:r>
              <w:rPr>
                <w:b/>
                <w:sz w:val="22"/>
              </w:rPr>
              <w:t>Salary(s) for CEO at Charter</w:t>
            </w:r>
          </w:p>
        </w:tc>
        <w:tc>
          <w:tcPr>
            <w:tcW w:w="3068" w:type="dxa"/>
          </w:tcPr>
          <w:p>
            <w:pPr>
              <w:pStyle w:val="TableParagraph"/>
              <w:spacing w:line="242" w:lineRule="auto"/>
              <w:ind w:left="112" w:right="89" w:firstLine="50"/>
              <w:jc w:val="left"/>
              <w:rPr>
                <w:b/>
                <w:sz w:val="22"/>
              </w:rPr>
            </w:pPr>
            <w:r>
              <w:rPr>
                <w:b/>
                <w:sz w:val="22"/>
              </w:rPr>
              <w:t>Comparable District (ADM 810) Superintendent Salary</w:t>
            </w:r>
          </w:p>
        </w:tc>
        <w:tc>
          <w:tcPr>
            <w:tcW w:w="2847" w:type="dxa"/>
          </w:tcPr>
          <w:p>
            <w:pPr>
              <w:pStyle w:val="TableParagraph"/>
              <w:spacing w:line="242" w:lineRule="auto"/>
              <w:ind w:left="1024" w:right="301" w:hanging="708"/>
              <w:jc w:val="left"/>
              <w:rPr>
                <w:b/>
                <w:sz w:val="22"/>
              </w:rPr>
            </w:pPr>
            <w:r>
              <w:rPr>
                <w:b/>
                <w:sz w:val="22"/>
              </w:rPr>
              <w:t>Student Body Size of Charter</w:t>
            </w:r>
          </w:p>
        </w:tc>
      </w:tr>
      <w:tr>
        <w:trPr>
          <w:trHeight w:val="540" w:hRule="atLeast"/>
        </w:trPr>
        <w:tc>
          <w:tcPr>
            <w:tcW w:w="2958" w:type="dxa"/>
          </w:tcPr>
          <w:p>
            <w:pPr>
              <w:pStyle w:val="TableParagraph"/>
              <w:spacing w:line="246" w:lineRule="exact"/>
              <w:ind w:left="622" w:right="620"/>
              <w:rPr>
                <w:b/>
                <w:sz w:val="22"/>
              </w:rPr>
            </w:pPr>
            <w:r>
              <w:rPr>
                <w:b/>
                <w:sz w:val="22"/>
              </w:rPr>
              <w:t>$109,062</w:t>
            </w:r>
          </w:p>
        </w:tc>
        <w:tc>
          <w:tcPr>
            <w:tcW w:w="3068" w:type="dxa"/>
          </w:tcPr>
          <w:p>
            <w:pPr>
              <w:pStyle w:val="TableParagraph"/>
              <w:spacing w:line="246" w:lineRule="exact"/>
              <w:ind w:left="1113" w:right="1109"/>
              <w:rPr>
                <w:b/>
                <w:sz w:val="22"/>
              </w:rPr>
            </w:pPr>
            <w:r>
              <w:rPr>
                <w:b/>
                <w:sz w:val="22"/>
              </w:rPr>
              <w:t>$91,253</w:t>
            </w:r>
          </w:p>
        </w:tc>
        <w:tc>
          <w:tcPr>
            <w:tcW w:w="2847" w:type="dxa"/>
          </w:tcPr>
          <w:p>
            <w:pPr>
              <w:pStyle w:val="TableParagraph"/>
              <w:spacing w:line="246" w:lineRule="exact"/>
              <w:ind w:left="419"/>
              <w:jc w:val="left"/>
              <w:rPr>
                <w:b/>
                <w:sz w:val="22"/>
              </w:rPr>
            </w:pPr>
            <w:r>
              <w:rPr>
                <w:b/>
                <w:sz w:val="22"/>
              </w:rPr>
              <w:t>619 at two charters</w:t>
            </w:r>
          </w:p>
        </w:tc>
      </w:tr>
    </w:tbl>
    <w:p>
      <w:pPr>
        <w:pStyle w:val="BodyText"/>
        <w:rPr>
          <w:sz w:val="26"/>
        </w:rPr>
      </w:pPr>
    </w:p>
    <w:p>
      <w:pPr>
        <w:pStyle w:val="BodyText"/>
        <w:spacing w:line="278" w:lineRule="auto" w:before="188"/>
        <w:ind w:left="220"/>
      </w:pPr>
      <w:r>
        <w:rPr>
          <w:b/>
        </w:rPr>
        <w:t>The Bad: </w:t>
      </w:r>
      <w:r>
        <w:rPr/>
        <w:t>Charter management uses inappropriate metrics to determine executive compensation or uses districts that have 20-100 times more students as a benchmark.</w:t>
      </w:r>
    </w:p>
    <w:p>
      <w:pPr>
        <w:pStyle w:val="BodyText"/>
        <w:spacing w:before="5"/>
        <w:rPr>
          <w:sz w:val="17"/>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58"/>
        <w:gridCol w:w="3159"/>
        <w:gridCol w:w="2756"/>
      </w:tblGrid>
      <w:tr>
        <w:trPr>
          <w:trHeight w:val="760" w:hRule="atLeast"/>
        </w:trPr>
        <w:tc>
          <w:tcPr>
            <w:tcW w:w="2958" w:type="dxa"/>
          </w:tcPr>
          <w:p>
            <w:pPr>
              <w:pStyle w:val="TableParagraph"/>
              <w:spacing w:line="276" w:lineRule="auto"/>
              <w:ind w:left="103" w:right="746"/>
              <w:jc w:val="left"/>
              <w:rPr>
                <w:b/>
                <w:sz w:val="22"/>
              </w:rPr>
            </w:pPr>
            <w:r>
              <w:rPr>
                <w:b/>
                <w:sz w:val="22"/>
              </w:rPr>
              <w:t>Salary(s) for CEO at Charter</w:t>
            </w:r>
          </w:p>
        </w:tc>
        <w:tc>
          <w:tcPr>
            <w:tcW w:w="3159" w:type="dxa"/>
          </w:tcPr>
          <w:p>
            <w:pPr>
              <w:pStyle w:val="TableParagraph"/>
              <w:spacing w:line="248" w:lineRule="exact"/>
              <w:ind w:left="210"/>
              <w:jc w:val="left"/>
              <w:rPr>
                <w:b/>
                <w:sz w:val="22"/>
              </w:rPr>
            </w:pPr>
            <w:r>
              <w:rPr>
                <w:b/>
                <w:sz w:val="22"/>
              </w:rPr>
              <w:t>Comparable District (ADM</w:t>
            </w:r>
          </w:p>
          <w:p>
            <w:pPr>
              <w:pStyle w:val="TableParagraph"/>
              <w:spacing w:before="32"/>
              <w:ind w:left="155"/>
              <w:jc w:val="left"/>
              <w:rPr>
                <w:b/>
                <w:sz w:val="22"/>
              </w:rPr>
            </w:pPr>
            <w:r>
              <w:rPr>
                <w:b/>
                <w:sz w:val="22"/>
              </w:rPr>
              <w:t>290) Superintendent Salary</w:t>
            </w:r>
          </w:p>
        </w:tc>
        <w:tc>
          <w:tcPr>
            <w:tcW w:w="2756" w:type="dxa"/>
          </w:tcPr>
          <w:p>
            <w:pPr>
              <w:pStyle w:val="TableParagraph"/>
              <w:spacing w:line="248" w:lineRule="exact"/>
              <w:ind w:left="405"/>
              <w:jc w:val="left"/>
              <w:rPr>
                <w:b/>
                <w:sz w:val="22"/>
              </w:rPr>
            </w:pPr>
            <w:r>
              <w:rPr>
                <w:b/>
                <w:sz w:val="22"/>
              </w:rPr>
              <w:t>Student Body Size</w:t>
            </w:r>
          </w:p>
        </w:tc>
      </w:tr>
      <w:tr>
        <w:trPr>
          <w:trHeight w:val="1260" w:hRule="atLeast"/>
        </w:trPr>
        <w:tc>
          <w:tcPr>
            <w:tcW w:w="2958" w:type="dxa"/>
          </w:tcPr>
          <w:p>
            <w:pPr>
              <w:pStyle w:val="TableParagraph"/>
              <w:spacing w:line="248" w:lineRule="exact"/>
              <w:ind w:left="622" w:right="620"/>
              <w:rPr>
                <w:b/>
                <w:sz w:val="22"/>
              </w:rPr>
            </w:pPr>
            <w:r>
              <w:rPr>
                <w:b/>
                <w:sz w:val="22"/>
              </w:rPr>
              <w:t>$225,000</w:t>
            </w:r>
          </w:p>
          <w:p>
            <w:pPr>
              <w:pStyle w:val="TableParagraph"/>
              <w:spacing w:before="4"/>
              <w:jc w:val="left"/>
              <w:rPr>
                <w:sz w:val="20"/>
              </w:rPr>
            </w:pPr>
          </w:p>
          <w:p>
            <w:pPr>
              <w:pStyle w:val="TableParagraph"/>
              <w:ind w:left="622" w:right="622"/>
              <w:rPr>
                <w:b/>
                <w:sz w:val="22"/>
              </w:rPr>
            </w:pPr>
            <w:r>
              <w:rPr>
                <w:b/>
                <w:sz w:val="22"/>
              </w:rPr>
              <w:t>Owner $276,350</w:t>
            </w:r>
          </w:p>
        </w:tc>
        <w:tc>
          <w:tcPr>
            <w:tcW w:w="3159" w:type="dxa"/>
          </w:tcPr>
          <w:p>
            <w:pPr>
              <w:pStyle w:val="TableParagraph"/>
              <w:spacing w:line="248" w:lineRule="exact"/>
              <w:ind w:left="1156" w:right="1156"/>
              <w:rPr>
                <w:b/>
                <w:sz w:val="22"/>
              </w:rPr>
            </w:pPr>
            <w:r>
              <w:rPr>
                <w:b/>
                <w:sz w:val="22"/>
              </w:rPr>
              <w:t>$75,000</w:t>
            </w:r>
          </w:p>
        </w:tc>
        <w:tc>
          <w:tcPr>
            <w:tcW w:w="2756" w:type="dxa"/>
          </w:tcPr>
          <w:p>
            <w:pPr>
              <w:pStyle w:val="TableParagraph"/>
              <w:spacing w:line="250" w:lineRule="exact"/>
              <w:ind w:left="415" w:hanging="92"/>
              <w:jc w:val="left"/>
              <w:rPr>
                <w:sz w:val="22"/>
              </w:rPr>
            </w:pPr>
            <w:r>
              <w:rPr>
                <w:sz w:val="22"/>
              </w:rPr>
              <w:t>296 Students Charter</w:t>
            </w:r>
          </w:p>
          <w:p>
            <w:pPr>
              <w:pStyle w:val="TableParagraph"/>
              <w:spacing w:before="6"/>
              <w:jc w:val="left"/>
              <w:rPr>
                <w:sz w:val="20"/>
              </w:rPr>
            </w:pPr>
          </w:p>
          <w:p>
            <w:pPr>
              <w:pStyle w:val="TableParagraph"/>
              <w:spacing w:line="276" w:lineRule="auto"/>
              <w:ind w:left="1036" w:right="403" w:hanging="622"/>
              <w:jc w:val="left"/>
              <w:rPr>
                <w:sz w:val="22"/>
              </w:rPr>
            </w:pPr>
            <w:r>
              <w:rPr>
                <w:sz w:val="22"/>
              </w:rPr>
              <w:t>290 Students at the District</w:t>
            </w:r>
          </w:p>
        </w:tc>
      </w:tr>
    </w:tbl>
    <w:p>
      <w:pPr>
        <w:pStyle w:val="BodyText"/>
        <w:rPr>
          <w:sz w:val="26"/>
        </w:rPr>
      </w:pPr>
    </w:p>
    <w:p>
      <w:pPr>
        <w:pStyle w:val="BodyText"/>
        <w:spacing w:before="186"/>
        <w:ind w:left="220"/>
      </w:pPr>
      <w:r>
        <w:rPr>
          <w:b/>
        </w:rPr>
        <w:t>The Ugly: </w:t>
      </w:r>
      <w:r>
        <w:rPr/>
        <w:t>Salaries at large corporate charters with a minimal footprint in Arizona.</w:t>
      </w:r>
    </w:p>
    <w:p>
      <w:pPr>
        <w:pStyle w:val="BodyText"/>
        <w:spacing w:before="9"/>
        <w:rPr>
          <w:sz w:val="20"/>
        </w:rPr>
      </w:pPr>
    </w:p>
    <w:p>
      <w:pPr>
        <w:pStyle w:val="BodyText"/>
        <w:spacing w:line="278" w:lineRule="auto"/>
        <w:ind w:left="220" w:right="95"/>
      </w:pPr>
      <w:r>
        <w:rPr/>
        <w:t>The charter here cited offers no benefits and low wages for teachers and administrators running the school in Arizona.</w:t>
      </w:r>
    </w:p>
    <w:p>
      <w:pPr>
        <w:pStyle w:val="BodyText"/>
        <w:spacing w:before="8"/>
        <w:rPr>
          <w:sz w:val="17"/>
        </w:rPr>
      </w:pPr>
    </w:p>
    <w:tbl>
      <w:tblPr>
        <w:tblW w:w="0" w:type="auto"/>
        <w:jc w:val="left"/>
        <w:tblInd w:w="1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47"/>
        <w:gridCol w:w="4086"/>
      </w:tblGrid>
      <w:tr>
        <w:trPr>
          <w:trHeight w:val="700" w:hRule="atLeast"/>
        </w:trPr>
        <w:tc>
          <w:tcPr>
            <w:tcW w:w="4847" w:type="dxa"/>
            <w:tcBorders>
              <w:top w:val="single" w:sz="12" w:space="0" w:color="5B9BD4"/>
              <w:bottom w:val="single" w:sz="12" w:space="0" w:color="5B9BD4"/>
            </w:tcBorders>
            <w:shd w:val="clear" w:color="auto" w:fill="000000"/>
          </w:tcPr>
          <w:p>
            <w:pPr>
              <w:pStyle w:val="TableParagraph"/>
              <w:spacing w:line="278" w:lineRule="auto"/>
              <w:ind w:left="1774" w:hanging="1431"/>
              <w:jc w:val="left"/>
              <w:rPr>
                <w:b/>
                <w:sz w:val="20"/>
              </w:rPr>
            </w:pPr>
            <w:r>
              <w:rPr>
                <w:b/>
                <w:color w:val="FFFFFF"/>
                <w:sz w:val="20"/>
              </w:rPr>
              <w:t>Officers and Directors (Corporate Board Members)</w:t>
            </w:r>
          </w:p>
        </w:tc>
        <w:tc>
          <w:tcPr>
            <w:tcW w:w="4086" w:type="dxa"/>
            <w:tcBorders>
              <w:top w:val="single" w:sz="12" w:space="0" w:color="5B9BD4"/>
              <w:bottom w:val="single" w:sz="12" w:space="0" w:color="5B9BD4"/>
            </w:tcBorders>
            <w:shd w:val="clear" w:color="auto" w:fill="000000"/>
          </w:tcPr>
          <w:p>
            <w:pPr>
              <w:pStyle w:val="TableParagraph"/>
              <w:spacing w:before="5"/>
              <w:jc w:val="left"/>
              <w:rPr>
                <w:sz w:val="22"/>
              </w:rPr>
            </w:pPr>
          </w:p>
          <w:p>
            <w:pPr>
              <w:pStyle w:val="TableParagraph"/>
              <w:ind w:left="674" w:right="1036"/>
              <w:rPr>
                <w:b/>
                <w:sz w:val="20"/>
              </w:rPr>
            </w:pPr>
            <w:r>
              <w:rPr>
                <w:b/>
                <w:color w:val="FFFFFF"/>
                <w:sz w:val="20"/>
              </w:rPr>
              <w:t>Compensation From 990</w:t>
            </w:r>
          </w:p>
        </w:tc>
      </w:tr>
      <w:tr>
        <w:trPr>
          <w:trHeight w:val="320" w:hRule="atLeast"/>
        </w:trPr>
        <w:tc>
          <w:tcPr>
            <w:tcW w:w="4847" w:type="dxa"/>
            <w:tcBorders>
              <w:top w:val="single" w:sz="12" w:space="0" w:color="5B9BD4"/>
            </w:tcBorders>
          </w:tcPr>
          <w:p>
            <w:pPr>
              <w:pStyle w:val="TableParagraph"/>
              <w:spacing w:line="227" w:lineRule="exact"/>
              <w:ind w:left="1726" w:right="2168"/>
              <w:rPr>
                <w:b/>
                <w:sz w:val="20"/>
              </w:rPr>
            </w:pPr>
            <w:r>
              <w:rPr>
                <w:b/>
                <w:sz w:val="20"/>
              </w:rPr>
              <w:t>John A.</w:t>
            </w:r>
          </w:p>
        </w:tc>
        <w:tc>
          <w:tcPr>
            <w:tcW w:w="4086" w:type="dxa"/>
            <w:tcBorders>
              <w:top w:val="single" w:sz="12" w:space="0" w:color="5B9BD4"/>
            </w:tcBorders>
          </w:tcPr>
          <w:p>
            <w:pPr>
              <w:pStyle w:val="TableParagraph"/>
              <w:jc w:val="left"/>
              <w:rPr>
                <w:rFonts w:ascii="Times New Roman"/>
                <w:sz w:val="20"/>
              </w:rPr>
            </w:pPr>
          </w:p>
        </w:tc>
      </w:tr>
      <w:tr>
        <w:trPr>
          <w:trHeight w:val="500" w:hRule="atLeast"/>
        </w:trPr>
        <w:tc>
          <w:tcPr>
            <w:tcW w:w="4847" w:type="dxa"/>
            <w:tcBorders>
              <w:bottom w:val="single" w:sz="4" w:space="0" w:color="000000"/>
            </w:tcBorders>
          </w:tcPr>
          <w:p>
            <w:pPr>
              <w:pStyle w:val="TableParagraph"/>
              <w:spacing w:before="89"/>
              <w:ind w:left="1727" w:right="2168"/>
              <w:rPr>
                <w:b/>
                <w:sz w:val="20"/>
              </w:rPr>
            </w:pPr>
            <w:r>
              <w:rPr>
                <w:b/>
                <w:sz w:val="20"/>
              </w:rPr>
              <w:t>President</w:t>
            </w:r>
          </w:p>
        </w:tc>
        <w:tc>
          <w:tcPr>
            <w:tcW w:w="4086" w:type="dxa"/>
            <w:tcBorders>
              <w:bottom w:val="single" w:sz="4" w:space="0" w:color="000000"/>
            </w:tcBorders>
          </w:tcPr>
          <w:p>
            <w:pPr>
              <w:pStyle w:val="TableParagraph"/>
              <w:spacing w:before="89"/>
              <w:ind w:left="599" w:right="1036"/>
              <w:rPr>
                <w:b/>
                <w:sz w:val="20"/>
              </w:rPr>
            </w:pPr>
            <w:r>
              <w:rPr>
                <w:b/>
                <w:sz w:val="20"/>
              </w:rPr>
              <w:t>$759,722</w:t>
            </w:r>
          </w:p>
        </w:tc>
      </w:tr>
      <w:tr>
        <w:trPr>
          <w:trHeight w:val="300" w:hRule="atLeast"/>
        </w:trPr>
        <w:tc>
          <w:tcPr>
            <w:tcW w:w="4847" w:type="dxa"/>
            <w:tcBorders>
              <w:top w:val="single" w:sz="4" w:space="0" w:color="000000"/>
            </w:tcBorders>
          </w:tcPr>
          <w:p>
            <w:pPr>
              <w:pStyle w:val="TableParagraph"/>
              <w:spacing w:line="222" w:lineRule="exact"/>
              <w:ind w:left="1727" w:right="2158"/>
              <w:rPr>
                <w:b/>
                <w:sz w:val="20"/>
              </w:rPr>
            </w:pPr>
            <w:r>
              <w:rPr>
                <w:b/>
                <w:sz w:val="20"/>
              </w:rPr>
              <w:t>Jeff G.</w:t>
            </w:r>
          </w:p>
        </w:tc>
        <w:tc>
          <w:tcPr>
            <w:tcW w:w="4086" w:type="dxa"/>
            <w:tcBorders>
              <w:top w:val="single" w:sz="4" w:space="0" w:color="000000"/>
            </w:tcBorders>
          </w:tcPr>
          <w:p>
            <w:pPr>
              <w:pStyle w:val="TableParagraph"/>
              <w:jc w:val="left"/>
              <w:rPr>
                <w:rFonts w:ascii="Times New Roman"/>
                <w:sz w:val="20"/>
              </w:rPr>
            </w:pPr>
          </w:p>
        </w:tc>
      </w:tr>
      <w:tr>
        <w:trPr>
          <w:trHeight w:val="520" w:hRule="atLeast"/>
        </w:trPr>
        <w:tc>
          <w:tcPr>
            <w:tcW w:w="4847" w:type="dxa"/>
            <w:tcBorders>
              <w:bottom w:val="single" w:sz="4" w:space="0" w:color="000000"/>
            </w:tcBorders>
          </w:tcPr>
          <w:p>
            <w:pPr>
              <w:pStyle w:val="TableParagraph"/>
              <w:spacing w:before="90"/>
              <w:ind w:left="1727" w:right="2160"/>
              <w:rPr>
                <w:b/>
                <w:sz w:val="20"/>
              </w:rPr>
            </w:pPr>
            <w:r>
              <w:rPr>
                <w:b/>
                <w:sz w:val="20"/>
              </w:rPr>
              <w:t>CIO</w:t>
            </w:r>
          </w:p>
        </w:tc>
        <w:tc>
          <w:tcPr>
            <w:tcW w:w="4086" w:type="dxa"/>
            <w:tcBorders>
              <w:bottom w:val="single" w:sz="4" w:space="0" w:color="000000"/>
            </w:tcBorders>
          </w:tcPr>
          <w:p>
            <w:pPr>
              <w:pStyle w:val="TableParagraph"/>
              <w:spacing w:before="90"/>
              <w:ind w:left="599" w:right="1036"/>
              <w:rPr>
                <w:b/>
                <w:sz w:val="20"/>
              </w:rPr>
            </w:pPr>
            <w:r>
              <w:rPr>
                <w:b/>
                <w:sz w:val="20"/>
              </w:rPr>
              <w:t>$265,840</w:t>
            </w:r>
          </w:p>
        </w:tc>
      </w:tr>
      <w:tr>
        <w:trPr>
          <w:trHeight w:val="320" w:hRule="atLeast"/>
        </w:trPr>
        <w:tc>
          <w:tcPr>
            <w:tcW w:w="4847" w:type="dxa"/>
            <w:tcBorders>
              <w:top w:val="single" w:sz="4" w:space="0" w:color="000000"/>
            </w:tcBorders>
          </w:tcPr>
          <w:p>
            <w:pPr>
              <w:pStyle w:val="TableParagraph"/>
              <w:spacing w:line="225" w:lineRule="exact"/>
              <w:ind w:left="1727" w:right="2166"/>
              <w:rPr>
                <w:b/>
                <w:sz w:val="20"/>
              </w:rPr>
            </w:pPr>
            <w:r>
              <w:rPr>
                <w:b/>
                <w:sz w:val="20"/>
              </w:rPr>
              <w:t>Bill T.</w:t>
            </w:r>
          </w:p>
        </w:tc>
        <w:tc>
          <w:tcPr>
            <w:tcW w:w="4086" w:type="dxa"/>
            <w:tcBorders>
              <w:top w:val="single" w:sz="4" w:space="0" w:color="000000"/>
            </w:tcBorders>
          </w:tcPr>
          <w:p>
            <w:pPr>
              <w:pStyle w:val="TableParagraph"/>
              <w:jc w:val="left"/>
              <w:rPr>
                <w:rFonts w:ascii="Times New Roman"/>
                <w:sz w:val="20"/>
              </w:rPr>
            </w:pPr>
          </w:p>
        </w:tc>
      </w:tr>
      <w:tr>
        <w:trPr>
          <w:trHeight w:val="500" w:hRule="atLeast"/>
        </w:trPr>
        <w:tc>
          <w:tcPr>
            <w:tcW w:w="4847" w:type="dxa"/>
            <w:tcBorders>
              <w:bottom w:val="single" w:sz="4" w:space="0" w:color="000000"/>
            </w:tcBorders>
          </w:tcPr>
          <w:p>
            <w:pPr>
              <w:pStyle w:val="TableParagraph"/>
              <w:spacing w:before="90"/>
              <w:ind w:left="1727" w:right="2165"/>
              <w:rPr>
                <w:b/>
                <w:sz w:val="20"/>
              </w:rPr>
            </w:pPr>
            <w:r>
              <w:rPr>
                <w:b/>
                <w:sz w:val="20"/>
              </w:rPr>
              <w:t>CFO</w:t>
            </w:r>
          </w:p>
        </w:tc>
        <w:tc>
          <w:tcPr>
            <w:tcW w:w="4086" w:type="dxa"/>
            <w:tcBorders>
              <w:bottom w:val="single" w:sz="4" w:space="0" w:color="000000"/>
            </w:tcBorders>
          </w:tcPr>
          <w:p>
            <w:pPr>
              <w:pStyle w:val="TableParagraph"/>
              <w:spacing w:before="90"/>
              <w:ind w:left="599" w:right="1036"/>
              <w:rPr>
                <w:b/>
                <w:sz w:val="20"/>
              </w:rPr>
            </w:pPr>
            <w:r>
              <w:rPr>
                <w:b/>
                <w:sz w:val="20"/>
              </w:rPr>
              <w:t>$562,676</w:t>
            </w:r>
          </w:p>
        </w:tc>
      </w:tr>
      <w:tr>
        <w:trPr>
          <w:trHeight w:val="320" w:hRule="atLeast"/>
        </w:trPr>
        <w:tc>
          <w:tcPr>
            <w:tcW w:w="4847" w:type="dxa"/>
            <w:tcBorders>
              <w:top w:val="single" w:sz="4" w:space="0" w:color="000000"/>
            </w:tcBorders>
          </w:tcPr>
          <w:p>
            <w:pPr>
              <w:pStyle w:val="TableParagraph"/>
              <w:spacing w:line="222" w:lineRule="exact"/>
              <w:ind w:left="1721" w:right="2168"/>
              <w:rPr>
                <w:b/>
                <w:sz w:val="20"/>
              </w:rPr>
            </w:pPr>
            <w:r>
              <w:rPr>
                <w:b/>
                <w:sz w:val="20"/>
              </w:rPr>
              <w:t>Eric S.</w:t>
            </w:r>
          </w:p>
        </w:tc>
        <w:tc>
          <w:tcPr>
            <w:tcW w:w="4086" w:type="dxa"/>
            <w:tcBorders>
              <w:top w:val="single" w:sz="4" w:space="0" w:color="000000"/>
            </w:tcBorders>
          </w:tcPr>
          <w:p>
            <w:pPr>
              <w:pStyle w:val="TableParagraph"/>
              <w:jc w:val="left"/>
              <w:rPr>
                <w:rFonts w:ascii="Times New Roman"/>
                <w:sz w:val="20"/>
              </w:rPr>
            </w:pPr>
          </w:p>
        </w:tc>
      </w:tr>
      <w:tr>
        <w:trPr>
          <w:trHeight w:val="520" w:hRule="atLeast"/>
        </w:trPr>
        <w:tc>
          <w:tcPr>
            <w:tcW w:w="4847" w:type="dxa"/>
            <w:tcBorders>
              <w:bottom w:val="single" w:sz="4" w:space="0" w:color="000000"/>
            </w:tcBorders>
          </w:tcPr>
          <w:p>
            <w:pPr>
              <w:pStyle w:val="TableParagraph"/>
              <w:spacing w:before="91"/>
              <w:ind w:left="1727" w:right="2165"/>
              <w:rPr>
                <w:b/>
                <w:sz w:val="20"/>
              </w:rPr>
            </w:pPr>
            <w:r>
              <w:rPr>
                <w:b/>
                <w:sz w:val="20"/>
              </w:rPr>
              <w:t>COO</w:t>
            </w:r>
          </w:p>
        </w:tc>
        <w:tc>
          <w:tcPr>
            <w:tcW w:w="4086" w:type="dxa"/>
            <w:tcBorders>
              <w:bottom w:val="single" w:sz="4" w:space="0" w:color="000000"/>
            </w:tcBorders>
          </w:tcPr>
          <w:p>
            <w:pPr>
              <w:pStyle w:val="TableParagraph"/>
              <w:spacing w:before="91"/>
              <w:ind w:left="599" w:right="1036"/>
              <w:rPr>
                <w:b/>
                <w:sz w:val="20"/>
              </w:rPr>
            </w:pPr>
            <w:r>
              <w:rPr>
                <w:b/>
                <w:sz w:val="20"/>
              </w:rPr>
              <w:t>$238,737</w:t>
            </w:r>
          </w:p>
        </w:tc>
      </w:tr>
    </w:tbl>
    <w:p>
      <w:pPr>
        <w:pStyle w:val="BodyText"/>
        <w:rPr>
          <w:sz w:val="26"/>
        </w:rPr>
      </w:pPr>
    </w:p>
    <w:p>
      <w:pPr>
        <w:spacing w:before="186"/>
        <w:ind w:left="522" w:right="0" w:firstLine="0"/>
        <w:jc w:val="left"/>
        <w:rPr>
          <w:sz w:val="20"/>
        </w:rPr>
      </w:pPr>
      <w:r>
        <w:rPr>
          <w:sz w:val="20"/>
        </w:rPr>
        <w:t>Sources: Published Superintendent’s Salaries and IRS Form 990 for the nonprofits in this example.</w:t>
      </w:r>
    </w:p>
    <w:p>
      <w:pPr>
        <w:spacing w:after="0"/>
        <w:jc w:val="left"/>
        <w:rPr>
          <w:sz w:val="20"/>
        </w:rPr>
        <w:sectPr>
          <w:pgSz w:w="12240" w:h="15840"/>
          <w:pgMar w:header="740" w:footer="1002" w:top="940" w:bottom="1200" w:left="1220" w:right="1400"/>
        </w:sectPr>
      </w:pPr>
    </w:p>
    <w:p>
      <w:pPr>
        <w:pStyle w:val="BodyText"/>
        <w:rPr>
          <w:sz w:val="20"/>
        </w:rPr>
      </w:pPr>
    </w:p>
    <w:p>
      <w:pPr>
        <w:pStyle w:val="BodyText"/>
        <w:spacing w:before="5"/>
        <w:rPr>
          <w:sz w:val="21"/>
        </w:rPr>
      </w:pPr>
    </w:p>
    <w:p>
      <w:pPr>
        <w:pStyle w:val="BodyText"/>
        <w:ind w:left="220" w:right="108"/>
        <w:jc w:val="both"/>
      </w:pPr>
      <w:r>
        <w:rPr/>
        <w:t>Several multi- state, multi-national companies run their management groups as FOR- PROFITS. This corporate status, (FOR-PROFIT) shields the group from publishing their salaries,</w:t>
      </w:r>
      <w:r>
        <w:rPr>
          <w:spacing w:val="-6"/>
        </w:rPr>
        <w:t> </w:t>
      </w:r>
      <w:r>
        <w:rPr/>
        <w:t>even</w:t>
      </w:r>
      <w:r>
        <w:rPr>
          <w:spacing w:val="-6"/>
        </w:rPr>
        <w:t> </w:t>
      </w:r>
      <w:r>
        <w:rPr/>
        <w:t>though</w:t>
      </w:r>
      <w:r>
        <w:rPr>
          <w:spacing w:val="-6"/>
        </w:rPr>
        <w:t> </w:t>
      </w:r>
      <w:r>
        <w:rPr/>
        <w:t>the</w:t>
      </w:r>
      <w:r>
        <w:rPr>
          <w:spacing w:val="-6"/>
        </w:rPr>
        <w:t> </w:t>
      </w:r>
      <w:r>
        <w:rPr/>
        <w:t>local</w:t>
      </w:r>
      <w:r>
        <w:rPr>
          <w:spacing w:val="-7"/>
        </w:rPr>
        <w:t> </w:t>
      </w:r>
      <w:r>
        <w:rPr/>
        <w:t>charters</w:t>
      </w:r>
      <w:r>
        <w:rPr>
          <w:spacing w:val="-7"/>
        </w:rPr>
        <w:t> </w:t>
      </w:r>
      <w:r>
        <w:rPr/>
        <w:t>are</w:t>
      </w:r>
      <w:r>
        <w:rPr>
          <w:spacing w:val="-9"/>
        </w:rPr>
        <w:t> </w:t>
      </w:r>
      <w:r>
        <w:rPr/>
        <w:t>nonprofits</w:t>
      </w:r>
      <w:r>
        <w:rPr>
          <w:spacing w:val="-7"/>
        </w:rPr>
        <w:t> </w:t>
      </w:r>
      <w:r>
        <w:rPr/>
        <w:t>(see</w:t>
      </w:r>
      <w:r>
        <w:rPr>
          <w:spacing w:val="-6"/>
        </w:rPr>
        <w:t> </w:t>
      </w:r>
      <w:r>
        <w:rPr/>
        <w:t>Figure</w:t>
      </w:r>
      <w:r>
        <w:rPr>
          <w:spacing w:val="-7"/>
        </w:rPr>
        <w:t> </w:t>
      </w:r>
      <w:r>
        <w:rPr/>
        <w:t>2</w:t>
      </w:r>
      <w:r>
        <w:rPr>
          <w:spacing w:val="-8"/>
        </w:rPr>
        <w:t> </w:t>
      </w:r>
      <w:r>
        <w:rPr/>
        <w:t>previously).</w:t>
      </w:r>
      <w:r>
        <w:rPr>
          <w:spacing w:val="-6"/>
        </w:rPr>
        <w:t> </w:t>
      </w:r>
      <w:r>
        <w:rPr/>
        <w:t>Salaries can also be hidden from public sight in “for-profit” subsidiaries with the same owner and board. Distributions paid out of these companies is not visible in the public</w:t>
      </w:r>
      <w:r>
        <w:rPr>
          <w:spacing w:val="-30"/>
        </w:rPr>
        <w:t> </w:t>
      </w:r>
      <w:r>
        <w:rPr/>
        <w:t>reports.</w:t>
      </w:r>
    </w:p>
    <w:p>
      <w:pPr>
        <w:pStyle w:val="BodyText"/>
        <w:spacing w:before="11"/>
        <w:rPr>
          <w:sz w:val="23"/>
        </w:rPr>
      </w:pPr>
    </w:p>
    <w:p>
      <w:pPr>
        <w:pStyle w:val="BodyText"/>
        <w:ind w:left="218" w:right="111"/>
        <w:jc w:val="both"/>
      </w:pPr>
      <w:r>
        <w:rPr/>
        <w:t>$105,000 was the average salary for a superintendent with a district between 600 and 1,200 students. The outlier in yellow in the data below is the Technology Center for the East Valley. </w:t>
      </w:r>
      <w:r>
        <w:rPr>
          <w:i/>
        </w:rPr>
        <w:t>The outlier was included in the averaging skewing the average higher</w:t>
      </w:r>
      <w:r>
        <w:rPr/>
        <w:t>. If instead salaries are measured on a per pupil basis and we focus only on the top half of paying districts, the average is $153 per student including EVIT and $136 per pupil excluding it.</w:t>
      </w:r>
    </w:p>
    <w:p>
      <w:pPr>
        <w:pStyle w:val="BodyText"/>
        <w:rPr>
          <w:sz w:val="20"/>
        </w:rPr>
      </w:pPr>
    </w:p>
    <w:p>
      <w:pPr>
        <w:pStyle w:val="BodyText"/>
        <w:rPr>
          <w:sz w:val="20"/>
        </w:rPr>
      </w:pPr>
    </w:p>
    <w:p>
      <w:pPr>
        <w:pStyle w:val="BodyText"/>
        <w:spacing w:before="5"/>
        <w:rPr>
          <w:sz w:val="22"/>
        </w:rPr>
      </w:pPr>
      <w:r>
        <w:rPr/>
        <w:pict>
          <v:group style="position:absolute;margin-left:142.324997pt;margin-top:14.897779pt;width:327.75pt;height:.75pt;mso-position-horizontal-relative:page;mso-position-vertical-relative:paragraph;z-index:1768;mso-wrap-distance-left:0;mso-wrap-distance-right:0" coordorigin="2846,298" coordsize="6555,15">
            <v:line style="position:absolute" from="2854,305" to="9394,305" stroked="true" strokeweight=".72pt" strokecolor="#4f81bc">
              <v:stroke dashstyle="solid"/>
            </v:line>
            <v:line style="position:absolute" from="9396,298" to="9396,313" stroked="true" strokeweight=".2pt" strokecolor="#4f81bc">
              <v:stroke dashstyle="solid"/>
            </v:line>
            <w10:wrap type="topAndBottom"/>
          </v:group>
        </w:pict>
      </w:r>
    </w:p>
    <w:p>
      <w:pPr>
        <w:spacing w:line="259" w:lineRule="auto" w:before="149"/>
        <w:ind w:left="1866" w:right="1744" w:firstLine="0"/>
        <w:jc w:val="both"/>
        <w:rPr>
          <w:rFonts w:ascii="Calibri" w:hAnsi="Calibri"/>
          <w:i/>
          <w:sz w:val="24"/>
        </w:rPr>
      </w:pPr>
      <w:r>
        <w:rPr>
          <w:rFonts w:ascii="Calibri" w:hAnsi="Calibri"/>
          <w:i/>
          <w:sz w:val="24"/>
        </w:rPr>
        <w:t>Salaries can also be hidden from public sight in “for-profit” </w:t>
      </w:r>
      <w:r>
        <w:rPr>
          <w:rFonts w:ascii="Calibri" w:hAnsi="Calibri"/>
          <w:i/>
          <w:sz w:val="24"/>
        </w:rPr>
        <w:t>subsidiaries</w:t>
      </w:r>
      <w:r>
        <w:rPr>
          <w:rFonts w:ascii="Calibri" w:hAnsi="Calibri"/>
          <w:i/>
          <w:spacing w:val="-7"/>
          <w:sz w:val="24"/>
        </w:rPr>
        <w:t> </w:t>
      </w:r>
      <w:r>
        <w:rPr>
          <w:rFonts w:ascii="Calibri" w:hAnsi="Calibri"/>
          <w:i/>
          <w:sz w:val="24"/>
        </w:rPr>
        <w:t>with</w:t>
      </w:r>
      <w:r>
        <w:rPr>
          <w:rFonts w:ascii="Calibri" w:hAnsi="Calibri"/>
          <w:i/>
          <w:spacing w:val="-8"/>
          <w:sz w:val="24"/>
        </w:rPr>
        <w:t> </w:t>
      </w:r>
      <w:r>
        <w:rPr>
          <w:rFonts w:ascii="Calibri" w:hAnsi="Calibri"/>
          <w:i/>
          <w:sz w:val="24"/>
        </w:rPr>
        <w:t>the</w:t>
      </w:r>
      <w:r>
        <w:rPr>
          <w:rFonts w:ascii="Calibri" w:hAnsi="Calibri"/>
          <w:i/>
          <w:spacing w:val="-7"/>
          <w:sz w:val="24"/>
        </w:rPr>
        <w:t> </w:t>
      </w:r>
      <w:r>
        <w:rPr>
          <w:rFonts w:ascii="Calibri" w:hAnsi="Calibri"/>
          <w:i/>
          <w:sz w:val="24"/>
        </w:rPr>
        <w:t>same</w:t>
      </w:r>
      <w:r>
        <w:rPr>
          <w:rFonts w:ascii="Calibri" w:hAnsi="Calibri"/>
          <w:i/>
          <w:spacing w:val="-7"/>
          <w:sz w:val="24"/>
        </w:rPr>
        <w:t> </w:t>
      </w:r>
      <w:r>
        <w:rPr>
          <w:rFonts w:ascii="Calibri" w:hAnsi="Calibri"/>
          <w:i/>
          <w:sz w:val="24"/>
        </w:rPr>
        <w:t>owner</w:t>
      </w:r>
      <w:r>
        <w:rPr>
          <w:rFonts w:ascii="Calibri" w:hAnsi="Calibri"/>
          <w:i/>
          <w:spacing w:val="-7"/>
          <w:sz w:val="24"/>
        </w:rPr>
        <w:t> </w:t>
      </w:r>
      <w:r>
        <w:rPr>
          <w:rFonts w:ascii="Calibri" w:hAnsi="Calibri"/>
          <w:i/>
          <w:sz w:val="24"/>
        </w:rPr>
        <w:t>and</w:t>
      </w:r>
      <w:r>
        <w:rPr>
          <w:rFonts w:ascii="Calibri" w:hAnsi="Calibri"/>
          <w:i/>
          <w:spacing w:val="-8"/>
          <w:sz w:val="24"/>
        </w:rPr>
        <w:t> </w:t>
      </w:r>
      <w:r>
        <w:rPr>
          <w:rFonts w:ascii="Calibri" w:hAnsi="Calibri"/>
          <w:i/>
          <w:sz w:val="24"/>
        </w:rPr>
        <w:t>board.</w:t>
      </w:r>
      <w:r>
        <w:rPr>
          <w:rFonts w:ascii="Calibri" w:hAnsi="Calibri"/>
          <w:i/>
          <w:spacing w:val="-8"/>
          <w:sz w:val="24"/>
        </w:rPr>
        <w:t> </w:t>
      </w:r>
      <w:r>
        <w:rPr>
          <w:rFonts w:ascii="Calibri" w:hAnsi="Calibri"/>
          <w:i/>
          <w:sz w:val="24"/>
        </w:rPr>
        <w:t>Distributions</w:t>
      </w:r>
      <w:r>
        <w:rPr>
          <w:rFonts w:ascii="Calibri" w:hAnsi="Calibri"/>
          <w:i/>
          <w:spacing w:val="-7"/>
          <w:sz w:val="24"/>
        </w:rPr>
        <w:t> </w:t>
      </w:r>
      <w:r>
        <w:rPr>
          <w:rFonts w:ascii="Calibri" w:hAnsi="Calibri"/>
          <w:i/>
          <w:sz w:val="24"/>
        </w:rPr>
        <w:t>paid out of these companies is not visible in the public</w:t>
      </w:r>
      <w:r>
        <w:rPr>
          <w:rFonts w:ascii="Calibri" w:hAnsi="Calibri"/>
          <w:i/>
          <w:spacing w:val="-33"/>
          <w:sz w:val="24"/>
        </w:rPr>
        <w:t> </w:t>
      </w:r>
      <w:r>
        <w:rPr>
          <w:rFonts w:ascii="Calibri" w:hAnsi="Calibri"/>
          <w:i/>
          <w:sz w:val="24"/>
        </w:rPr>
        <w:t>reports.</w:t>
      </w:r>
    </w:p>
    <w:p>
      <w:pPr>
        <w:pStyle w:val="BodyText"/>
        <w:spacing w:before="3"/>
        <w:rPr>
          <w:rFonts w:ascii="Calibri"/>
          <w:i/>
          <w:sz w:val="13"/>
        </w:rPr>
      </w:pPr>
      <w:r>
        <w:rPr/>
        <w:pict>
          <v:group style="position:absolute;margin-left:142.324997pt;margin-top:10.081272pt;width:327.75pt;height:.75pt;mso-position-horizontal-relative:page;mso-position-vertical-relative:paragraph;z-index:1792;mso-wrap-distance-left:0;mso-wrap-distance-right:0" coordorigin="2846,202" coordsize="6555,15">
            <v:line style="position:absolute" from="2854,209" to="9394,209" stroked="true" strokeweight=".72pt" strokecolor="#4f81bc">
              <v:stroke dashstyle="solid"/>
            </v:line>
            <v:line style="position:absolute" from="9396,202" to="9396,216" stroked="true" strokeweight=".2pt" strokecolor="#4f81bc">
              <v:stroke dashstyle="solid"/>
            </v:line>
            <w10:wrap type="topAndBottom"/>
          </v:group>
        </w:pict>
      </w:r>
    </w:p>
    <w:p>
      <w:pPr>
        <w:pStyle w:val="BodyText"/>
        <w:rPr>
          <w:rFonts w:ascii="Calibri"/>
          <w:i/>
        </w:rPr>
      </w:pPr>
    </w:p>
    <w:p>
      <w:pPr>
        <w:pStyle w:val="BodyText"/>
        <w:spacing w:before="4"/>
        <w:rPr>
          <w:rFonts w:ascii="Calibri"/>
          <w:i/>
          <w:sz w:val="25"/>
        </w:rPr>
      </w:pPr>
    </w:p>
    <w:p>
      <w:pPr>
        <w:pStyle w:val="Heading2"/>
        <w:spacing w:after="49"/>
        <w:ind w:left="218"/>
        <w:jc w:val="both"/>
      </w:pPr>
      <w:bookmarkStart w:name="_bookmark44" w:id="45"/>
      <w:bookmarkEnd w:id="45"/>
      <w:r>
        <w:rPr>
          <w:b w:val="0"/>
        </w:rPr>
      </w:r>
      <w:r>
        <w:rPr>
          <w:color w:val="4F81BC"/>
        </w:rPr>
        <w:t>Table 2:  Superintendent Salaries for Districts with 600-1,200 Students</w:t>
      </w: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279"/>
        <w:gridCol w:w="2098"/>
        <w:gridCol w:w="1976"/>
      </w:tblGrid>
      <w:tr>
        <w:trPr>
          <w:trHeight w:val="940" w:hRule="atLeast"/>
        </w:trPr>
        <w:tc>
          <w:tcPr>
            <w:tcW w:w="5279" w:type="dxa"/>
          </w:tcPr>
          <w:p>
            <w:pPr>
              <w:pStyle w:val="TableParagraph"/>
              <w:jc w:val="left"/>
              <w:rPr>
                <w:b/>
                <w:sz w:val="24"/>
              </w:rPr>
            </w:pPr>
          </w:p>
          <w:p>
            <w:pPr>
              <w:pStyle w:val="TableParagraph"/>
              <w:spacing w:before="11"/>
              <w:jc w:val="left"/>
              <w:rPr>
                <w:b/>
                <w:sz w:val="18"/>
              </w:rPr>
            </w:pPr>
          </w:p>
          <w:p>
            <w:pPr>
              <w:pStyle w:val="TableParagraph"/>
              <w:ind w:left="284" w:right="285"/>
              <w:rPr>
                <w:b/>
                <w:sz w:val="22"/>
              </w:rPr>
            </w:pPr>
            <w:r>
              <w:rPr>
                <w:b/>
                <w:sz w:val="22"/>
              </w:rPr>
              <w:t>District</w:t>
            </w:r>
          </w:p>
        </w:tc>
        <w:tc>
          <w:tcPr>
            <w:tcW w:w="2098" w:type="dxa"/>
          </w:tcPr>
          <w:p>
            <w:pPr>
              <w:pStyle w:val="TableParagraph"/>
              <w:jc w:val="left"/>
              <w:rPr>
                <w:b/>
                <w:sz w:val="21"/>
              </w:rPr>
            </w:pPr>
          </w:p>
          <w:p>
            <w:pPr>
              <w:pStyle w:val="TableParagraph"/>
              <w:ind w:left="436" w:right="223" w:hanging="205"/>
              <w:jc w:val="left"/>
              <w:rPr>
                <w:b/>
                <w:sz w:val="22"/>
              </w:rPr>
            </w:pPr>
            <w:r>
              <w:rPr>
                <w:b/>
                <w:sz w:val="22"/>
              </w:rPr>
              <w:t>Superintendent Salary 2015</w:t>
            </w:r>
          </w:p>
        </w:tc>
        <w:tc>
          <w:tcPr>
            <w:tcW w:w="1976" w:type="dxa"/>
          </w:tcPr>
          <w:p>
            <w:pPr>
              <w:pStyle w:val="TableParagraph"/>
              <w:ind w:left="381" w:right="382" w:firstLine="1"/>
              <w:rPr>
                <w:b/>
                <w:sz w:val="22"/>
              </w:rPr>
            </w:pPr>
            <w:r>
              <w:rPr>
                <w:b/>
                <w:sz w:val="22"/>
              </w:rPr>
              <w:t>Number of Students in District</w:t>
            </w:r>
          </w:p>
        </w:tc>
      </w:tr>
      <w:tr>
        <w:trPr>
          <w:trHeight w:val="420" w:hRule="atLeast"/>
        </w:trPr>
        <w:tc>
          <w:tcPr>
            <w:tcW w:w="5279" w:type="dxa"/>
          </w:tcPr>
          <w:p>
            <w:pPr>
              <w:pStyle w:val="TableParagraph"/>
              <w:spacing w:line="248" w:lineRule="exact"/>
              <w:ind w:left="285" w:right="285"/>
              <w:rPr>
                <w:sz w:val="22"/>
              </w:rPr>
            </w:pPr>
            <w:r>
              <w:rPr>
                <w:sz w:val="22"/>
              </w:rPr>
              <w:t>Mayer Unified School District</w:t>
            </w:r>
          </w:p>
        </w:tc>
        <w:tc>
          <w:tcPr>
            <w:tcW w:w="2098" w:type="dxa"/>
          </w:tcPr>
          <w:p>
            <w:pPr>
              <w:pStyle w:val="TableParagraph"/>
              <w:spacing w:line="248" w:lineRule="exact"/>
              <w:ind w:left="566" w:right="563"/>
              <w:rPr>
                <w:sz w:val="22"/>
              </w:rPr>
            </w:pPr>
            <w:r>
              <w:rPr>
                <w:sz w:val="22"/>
              </w:rPr>
              <w:t>$106,500</w:t>
            </w:r>
          </w:p>
        </w:tc>
        <w:tc>
          <w:tcPr>
            <w:tcW w:w="1976" w:type="dxa"/>
          </w:tcPr>
          <w:p>
            <w:pPr>
              <w:pStyle w:val="TableParagraph"/>
              <w:spacing w:line="248" w:lineRule="exact"/>
              <w:ind w:left="796"/>
              <w:jc w:val="left"/>
              <w:rPr>
                <w:sz w:val="22"/>
              </w:rPr>
            </w:pPr>
            <w:r>
              <w:rPr>
                <w:sz w:val="22"/>
              </w:rPr>
              <w:t>602</w:t>
            </w:r>
          </w:p>
        </w:tc>
      </w:tr>
      <w:tr>
        <w:trPr>
          <w:trHeight w:val="440" w:hRule="atLeast"/>
        </w:trPr>
        <w:tc>
          <w:tcPr>
            <w:tcW w:w="5279" w:type="dxa"/>
          </w:tcPr>
          <w:p>
            <w:pPr>
              <w:pStyle w:val="TableParagraph"/>
              <w:spacing w:line="248" w:lineRule="exact"/>
              <w:ind w:left="285" w:right="285"/>
              <w:rPr>
                <w:sz w:val="22"/>
              </w:rPr>
            </w:pPr>
            <w:r>
              <w:rPr>
                <w:sz w:val="22"/>
              </w:rPr>
              <w:t>Williams Unified School District</w:t>
            </w:r>
          </w:p>
        </w:tc>
        <w:tc>
          <w:tcPr>
            <w:tcW w:w="2098" w:type="dxa"/>
          </w:tcPr>
          <w:p>
            <w:pPr>
              <w:pStyle w:val="TableParagraph"/>
              <w:spacing w:line="248" w:lineRule="exact"/>
              <w:ind w:left="566" w:right="563"/>
              <w:rPr>
                <w:sz w:val="22"/>
              </w:rPr>
            </w:pPr>
            <w:r>
              <w:rPr>
                <w:sz w:val="22"/>
              </w:rPr>
              <w:t>$100,889</w:t>
            </w:r>
          </w:p>
        </w:tc>
        <w:tc>
          <w:tcPr>
            <w:tcW w:w="1976" w:type="dxa"/>
          </w:tcPr>
          <w:p>
            <w:pPr>
              <w:pStyle w:val="TableParagraph"/>
              <w:spacing w:line="248" w:lineRule="exact"/>
              <w:ind w:left="796"/>
              <w:jc w:val="left"/>
              <w:rPr>
                <w:sz w:val="22"/>
              </w:rPr>
            </w:pPr>
            <w:r>
              <w:rPr>
                <w:sz w:val="22"/>
              </w:rPr>
              <w:t>618</w:t>
            </w:r>
          </w:p>
        </w:tc>
      </w:tr>
      <w:tr>
        <w:trPr>
          <w:trHeight w:val="420" w:hRule="atLeast"/>
        </w:trPr>
        <w:tc>
          <w:tcPr>
            <w:tcW w:w="5279" w:type="dxa"/>
          </w:tcPr>
          <w:p>
            <w:pPr>
              <w:pStyle w:val="TableParagraph"/>
              <w:spacing w:line="248" w:lineRule="exact"/>
              <w:ind w:left="285" w:right="285"/>
              <w:rPr>
                <w:sz w:val="22"/>
              </w:rPr>
            </w:pPr>
            <w:r>
              <w:rPr>
                <w:sz w:val="22"/>
              </w:rPr>
              <w:t>Red Mesa Unified District</w:t>
            </w:r>
          </w:p>
        </w:tc>
        <w:tc>
          <w:tcPr>
            <w:tcW w:w="2098" w:type="dxa"/>
          </w:tcPr>
          <w:p>
            <w:pPr>
              <w:pStyle w:val="TableParagraph"/>
              <w:spacing w:line="248" w:lineRule="exact"/>
              <w:ind w:left="566" w:right="563"/>
              <w:rPr>
                <w:sz w:val="22"/>
              </w:rPr>
            </w:pPr>
            <w:r>
              <w:rPr>
                <w:sz w:val="22"/>
              </w:rPr>
              <w:t>$105,000</w:t>
            </w:r>
          </w:p>
        </w:tc>
        <w:tc>
          <w:tcPr>
            <w:tcW w:w="1976" w:type="dxa"/>
          </w:tcPr>
          <w:p>
            <w:pPr>
              <w:pStyle w:val="TableParagraph"/>
              <w:spacing w:line="248" w:lineRule="exact"/>
              <w:ind w:left="796"/>
              <w:jc w:val="left"/>
              <w:rPr>
                <w:sz w:val="22"/>
              </w:rPr>
            </w:pPr>
            <w:r>
              <w:rPr>
                <w:sz w:val="22"/>
              </w:rPr>
              <w:t>726</w:t>
            </w:r>
          </w:p>
        </w:tc>
      </w:tr>
      <w:tr>
        <w:trPr>
          <w:trHeight w:val="440" w:hRule="atLeast"/>
        </w:trPr>
        <w:tc>
          <w:tcPr>
            <w:tcW w:w="5279" w:type="dxa"/>
            <w:shd w:val="clear" w:color="auto" w:fill="FFFF00"/>
          </w:tcPr>
          <w:p>
            <w:pPr>
              <w:pStyle w:val="TableParagraph"/>
              <w:spacing w:line="248" w:lineRule="exact"/>
              <w:ind w:left="285" w:right="285"/>
              <w:rPr>
                <w:sz w:val="22"/>
              </w:rPr>
            </w:pPr>
            <w:r>
              <w:rPr>
                <w:sz w:val="22"/>
              </w:rPr>
              <w:t>East Valley Institute of Technology (Outlier)</w:t>
            </w:r>
          </w:p>
        </w:tc>
        <w:tc>
          <w:tcPr>
            <w:tcW w:w="2098" w:type="dxa"/>
            <w:shd w:val="clear" w:color="auto" w:fill="FFFF00"/>
          </w:tcPr>
          <w:p>
            <w:pPr>
              <w:pStyle w:val="TableParagraph"/>
              <w:spacing w:line="248" w:lineRule="exact"/>
              <w:ind w:left="566" w:right="563"/>
              <w:rPr>
                <w:sz w:val="22"/>
              </w:rPr>
            </w:pPr>
            <w:r>
              <w:rPr>
                <w:sz w:val="22"/>
              </w:rPr>
              <w:t>$234,839</w:t>
            </w:r>
          </w:p>
        </w:tc>
        <w:tc>
          <w:tcPr>
            <w:tcW w:w="1976" w:type="dxa"/>
            <w:shd w:val="clear" w:color="auto" w:fill="FFFF00"/>
          </w:tcPr>
          <w:p>
            <w:pPr>
              <w:pStyle w:val="TableParagraph"/>
              <w:spacing w:line="248" w:lineRule="exact"/>
              <w:ind w:left="796"/>
              <w:jc w:val="left"/>
              <w:rPr>
                <w:sz w:val="22"/>
              </w:rPr>
            </w:pPr>
            <w:r>
              <w:rPr>
                <w:sz w:val="22"/>
              </w:rPr>
              <w:t>727</w:t>
            </w:r>
          </w:p>
        </w:tc>
      </w:tr>
      <w:tr>
        <w:trPr>
          <w:trHeight w:val="420" w:hRule="atLeast"/>
        </w:trPr>
        <w:tc>
          <w:tcPr>
            <w:tcW w:w="5279" w:type="dxa"/>
          </w:tcPr>
          <w:p>
            <w:pPr>
              <w:pStyle w:val="TableParagraph"/>
              <w:spacing w:line="248" w:lineRule="exact"/>
              <w:ind w:left="285" w:right="285"/>
              <w:rPr>
                <w:sz w:val="22"/>
              </w:rPr>
            </w:pPr>
            <w:r>
              <w:rPr>
                <w:sz w:val="22"/>
              </w:rPr>
              <w:t>Altar Valley Elementary District</w:t>
            </w:r>
          </w:p>
        </w:tc>
        <w:tc>
          <w:tcPr>
            <w:tcW w:w="2098" w:type="dxa"/>
          </w:tcPr>
          <w:p>
            <w:pPr>
              <w:pStyle w:val="TableParagraph"/>
              <w:spacing w:line="248" w:lineRule="exact"/>
              <w:ind w:left="563" w:right="563"/>
              <w:rPr>
                <w:sz w:val="22"/>
              </w:rPr>
            </w:pPr>
            <w:r>
              <w:rPr>
                <w:sz w:val="22"/>
              </w:rPr>
              <w:t>$94,000</w:t>
            </w:r>
          </w:p>
        </w:tc>
        <w:tc>
          <w:tcPr>
            <w:tcW w:w="1976" w:type="dxa"/>
          </w:tcPr>
          <w:p>
            <w:pPr>
              <w:pStyle w:val="TableParagraph"/>
              <w:spacing w:line="248" w:lineRule="exact"/>
              <w:ind w:left="796"/>
              <w:jc w:val="left"/>
              <w:rPr>
                <w:sz w:val="22"/>
              </w:rPr>
            </w:pPr>
            <w:r>
              <w:rPr>
                <w:sz w:val="22"/>
              </w:rPr>
              <w:t>738</w:t>
            </w:r>
          </w:p>
        </w:tc>
      </w:tr>
      <w:tr>
        <w:trPr>
          <w:trHeight w:val="440" w:hRule="atLeast"/>
        </w:trPr>
        <w:tc>
          <w:tcPr>
            <w:tcW w:w="5279" w:type="dxa"/>
          </w:tcPr>
          <w:p>
            <w:pPr>
              <w:pStyle w:val="TableParagraph"/>
              <w:spacing w:line="248" w:lineRule="exact"/>
              <w:ind w:left="285" w:right="285"/>
              <w:rPr>
                <w:sz w:val="22"/>
              </w:rPr>
            </w:pPr>
            <w:r>
              <w:rPr>
                <w:sz w:val="22"/>
              </w:rPr>
              <w:t>Sanders Unified District</w:t>
            </w:r>
          </w:p>
        </w:tc>
        <w:tc>
          <w:tcPr>
            <w:tcW w:w="2098" w:type="dxa"/>
          </w:tcPr>
          <w:p>
            <w:pPr>
              <w:pStyle w:val="TableParagraph"/>
              <w:spacing w:line="248" w:lineRule="exact"/>
              <w:ind w:left="566" w:right="563"/>
              <w:rPr>
                <w:sz w:val="22"/>
              </w:rPr>
            </w:pPr>
            <w:r>
              <w:rPr>
                <w:sz w:val="22"/>
              </w:rPr>
              <w:t>$115,000</w:t>
            </w:r>
          </w:p>
        </w:tc>
        <w:tc>
          <w:tcPr>
            <w:tcW w:w="1976" w:type="dxa"/>
          </w:tcPr>
          <w:p>
            <w:pPr>
              <w:pStyle w:val="TableParagraph"/>
              <w:spacing w:line="248" w:lineRule="exact"/>
              <w:ind w:left="796"/>
              <w:jc w:val="left"/>
              <w:rPr>
                <w:sz w:val="22"/>
              </w:rPr>
            </w:pPr>
            <w:r>
              <w:rPr>
                <w:sz w:val="22"/>
              </w:rPr>
              <w:t>755</w:t>
            </w:r>
          </w:p>
        </w:tc>
      </w:tr>
      <w:tr>
        <w:trPr>
          <w:trHeight w:val="420" w:hRule="atLeast"/>
        </w:trPr>
        <w:tc>
          <w:tcPr>
            <w:tcW w:w="5279" w:type="dxa"/>
          </w:tcPr>
          <w:p>
            <w:pPr>
              <w:pStyle w:val="TableParagraph"/>
              <w:spacing w:line="248" w:lineRule="exact"/>
              <w:ind w:left="285" w:right="285"/>
              <w:rPr>
                <w:sz w:val="22"/>
              </w:rPr>
            </w:pPr>
            <w:r>
              <w:rPr>
                <w:sz w:val="22"/>
              </w:rPr>
              <w:t>Bisbee Unified School District</w:t>
            </w:r>
          </w:p>
        </w:tc>
        <w:tc>
          <w:tcPr>
            <w:tcW w:w="2098" w:type="dxa"/>
          </w:tcPr>
          <w:p>
            <w:pPr>
              <w:pStyle w:val="TableParagraph"/>
              <w:spacing w:line="248" w:lineRule="exact"/>
              <w:ind w:left="563" w:right="563"/>
              <w:rPr>
                <w:sz w:val="22"/>
              </w:rPr>
            </w:pPr>
            <w:r>
              <w:rPr>
                <w:sz w:val="22"/>
              </w:rPr>
              <w:t>$87,567</w:t>
            </w:r>
          </w:p>
        </w:tc>
        <w:tc>
          <w:tcPr>
            <w:tcW w:w="1976" w:type="dxa"/>
          </w:tcPr>
          <w:p>
            <w:pPr>
              <w:pStyle w:val="TableParagraph"/>
              <w:spacing w:line="248" w:lineRule="exact"/>
              <w:ind w:left="796"/>
              <w:jc w:val="left"/>
              <w:rPr>
                <w:sz w:val="22"/>
              </w:rPr>
            </w:pPr>
            <w:r>
              <w:rPr>
                <w:sz w:val="22"/>
              </w:rPr>
              <w:t>795</w:t>
            </w:r>
          </w:p>
        </w:tc>
      </w:tr>
      <w:tr>
        <w:trPr>
          <w:trHeight w:val="440" w:hRule="atLeast"/>
        </w:trPr>
        <w:tc>
          <w:tcPr>
            <w:tcW w:w="5279" w:type="dxa"/>
          </w:tcPr>
          <w:p>
            <w:pPr>
              <w:pStyle w:val="TableParagraph"/>
              <w:spacing w:line="248" w:lineRule="exact"/>
              <w:ind w:left="285" w:right="285"/>
              <w:rPr>
                <w:sz w:val="22"/>
              </w:rPr>
            </w:pPr>
            <w:r>
              <w:rPr>
                <w:sz w:val="22"/>
              </w:rPr>
              <w:t>Pima Unified District</w:t>
            </w:r>
          </w:p>
        </w:tc>
        <w:tc>
          <w:tcPr>
            <w:tcW w:w="2098" w:type="dxa"/>
          </w:tcPr>
          <w:p>
            <w:pPr>
              <w:pStyle w:val="TableParagraph"/>
              <w:spacing w:line="248" w:lineRule="exact"/>
              <w:ind w:left="563" w:right="563"/>
              <w:rPr>
                <w:sz w:val="22"/>
              </w:rPr>
            </w:pPr>
            <w:r>
              <w:rPr>
                <w:sz w:val="22"/>
              </w:rPr>
              <w:t>$91,253</w:t>
            </w:r>
          </w:p>
        </w:tc>
        <w:tc>
          <w:tcPr>
            <w:tcW w:w="1976" w:type="dxa"/>
          </w:tcPr>
          <w:p>
            <w:pPr>
              <w:pStyle w:val="TableParagraph"/>
              <w:spacing w:line="248" w:lineRule="exact"/>
              <w:ind w:left="796"/>
              <w:jc w:val="left"/>
              <w:rPr>
                <w:sz w:val="22"/>
              </w:rPr>
            </w:pPr>
            <w:r>
              <w:rPr>
                <w:sz w:val="22"/>
              </w:rPr>
              <w:t>810</w:t>
            </w:r>
          </w:p>
        </w:tc>
      </w:tr>
      <w:tr>
        <w:trPr>
          <w:trHeight w:val="420" w:hRule="atLeast"/>
        </w:trPr>
        <w:tc>
          <w:tcPr>
            <w:tcW w:w="5279" w:type="dxa"/>
          </w:tcPr>
          <w:p>
            <w:pPr>
              <w:pStyle w:val="TableParagraph"/>
              <w:spacing w:line="248" w:lineRule="exact"/>
              <w:ind w:left="285" w:right="285"/>
              <w:rPr>
                <w:sz w:val="22"/>
              </w:rPr>
            </w:pPr>
            <w:r>
              <w:rPr>
                <w:sz w:val="22"/>
              </w:rPr>
              <w:t>St. Johns Unified School District</w:t>
            </w:r>
          </w:p>
        </w:tc>
        <w:tc>
          <w:tcPr>
            <w:tcW w:w="2098" w:type="dxa"/>
          </w:tcPr>
          <w:p>
            <w:pPr>
              <w:pStyle w:val="TableParagraph"/>
              <w:spacing w:line="248" w:lineRule="exact"/>
              <w:ind w:left="563" w:right="563"/>
              <w:rPr>
                <w:sz w:val="22"/>
              </w:rPr>
            </w:pPr>
            <w:r>
              <w:rPr>
                <w:sz w:val="22"/>
              </w:rPr>
              <w:t>$77,367</w:t>
            </w:r>
          </w:p>
        </w:tc>
        <w:tc>
          <w:tcPr>
            <w:tcW w:w="1976" w:type="dxa"/>
          </w:tcPr>
          <w:p>
            <w:pPr>
              <w:pStyle w:val="TableParagraph"/>
              <w:spacing w:line="248" w:lineRule="exact"/>
              <w:ind w:left="796"/>
              <w:jc w:val="left"/>
              <w:rPr>
                <w:sz w:val="22"/>
              </w:rPr>
            </w:pPr>
            <w:r>
              <w:rPr>
                <w:sz w:val="22"/>
              </w:rPr>
              <w:t>816</w:t>
            </w:r>
          </w:p>
        </w:tc>
      </w:tr>
      <w:tr>
        <w:trPr>
          <w:trHeight w:val="440" w:hRule="atLeast"/>
        </w:trPr>
        <w:tc>
          <w:tcPr>
            <w:tcW w:w="5279" w:type="dxa"/>
          </w:tcPr>
          <w:p>
            <w:pPr>
              <w:pStyle w:val="TableParagraph"/>
              <w:spacing w:line="251" w:lineRule="exact"/>
              <w:ind w:left="285" w:right="285"/>
              <w:rPr>
                <w:sz w:val="22"/>
              </w:rPr>
            </w:pPr>
            <w:r>
              <w:rPr>
                <w:sz w:val="22"/>
              </w:rPr>
              <w:t>Nadaburg Unified School District</w:t>
            </w:r>
          </w:p>
        </w:tc>
        <w:tc>
          <w:tcPr>
            <w:tcW w:w="2098" w:type="dxa"/>
          </w:tcPr>
          <w:p>
            <w:pPr>
              <w:pStyle w:val="TableParagraph"/>
              <w:spacing w:line="251" w:lineRule="exact"/>
              <w:ind w:left="563" w:right="563"/>
              <w:rPr>
                <w:sz w:val="22"/>
              </w:rPr>
            </w:pPr>
            <w:r>
              <w:rPr>
                <w:sz w:val="22"/>
              </w:rPr>
              <w:t>$95,000</w:t>
            </w:r>
          </w:p>
        </w:tc>
        <w:tc>
          <w:tcPr>
            <w:tcW w:w="1976" w:type="dxa"/>
          </w:tcPr>
          <w:p>
            <w:pPr>
              <w:pStyle w:val="TableParagraph"/>
              <w:spacing w:line="251" w:lineRule="exact"/>
              <w:ind w:left="796"/>
              <w:jc w:val="left"/>
              <w:rPr>
                <w:sz w:val="22"/>
              </w:rPr>
            </w:pPr>
            <w:r>
              <w:rPr>
                <w:sz w:val="22"/>
              </w:rPr>
              <w:t>842</w:t>
            </w:r>
          </w:p>
        </w:tc>
      </w:tr>
      <w:tr>
        <w:trPr>
          <w:trHeight w:val="420" w:hRule="atLeast"/>
        </w:trPr>
        <w:tc>
          <w:tcPr>
            <w:tcW w:w="5279" w:type="dxa"/>
          </w:tcPr>
          <w:p>
            <w:pPr>
              <w:pStyle w:val="TableParagraph"/>
              <w:spacing w:line="250" w:lineRule="exact"/>
              <w:ind w:left="285" w:right="285"/>
              <w:rPr>
                <w:sz w:val="22"/>
              </w:rPr>
            </w:pPr>
            <w:r>
              <w:rPr>
                <w:sz w:val="22"/>
              </w:rPr>
              <w:t>Mammoth-San Manuel Unified District</w:t>
            </w:r>
          </w:p>
        </w:tc>
        <w:tc>
          <w:tcPr>
            <w:tcW w:w="2098" w:type="dxa"/>
          </w:tcPr>
          <w:p>
            <w:pPr>
              <w:pStyle w:val="TableParagraph"/>
              <w:spacing w:line="250" w:lineRule="exact"/>
              <w:ind w:left="566" w:right="563"/>
              <w:rPr>
                <w:sz w:val="22"/>
              </w:rPr>
            </w:pPr>
            <w:r>
              <w:rPr>
                <w:sz w:val="22"/>
              </w:rPr>
              <w:t>$102,500</w:t>
            </w:r>
          </w:p>
        </w:tc>
        <w:tc>
          <w:tcPr>
            <w:tcW w:w="1976" w:type="dxa"/>
          </w:tcPr>
          <w:p>
            <w:pPr>
              <w:pStyle w:val="TableParagraph"/>
              <w:spacing w:line="250" w:lineRule="exact"/>
              <w:ind w:left="796"/>
              <w:jc w:val="left"/>
              <w:rPr>
                <w:sz w:val="22"/>
              </w:rPr>
            </w:pPr>
            <w:r>
              <w:rPr>
                <w:sz w:val="22"/>
              </w:rPr>
              <w:t>888</w:t>
            </w:r>
          </w:p>
        </w:tc>
      </w:tr>
    </w:tbl>
    <w:p>
      <w:pPr>
        <w:spacing w:after="0" w:line="250" w:lineRule="exact"/>
        <w:jc w:val="left"/>
        <w:rPr>
          <w:sz w:val="22"/>
        </w:rPr>
        <w:sectPr>
          <w:pgSz w:w="12240" w:h="15840"/>
          <w:pgMar w:header="740" w:footer="1002" w:top="940" w:bottom="1200" w:left="1220" w:right="1320"/>
        </w:sectPr>
      </w:pPr>
    </w:p>
    <w:p>
      <w:pPr>
        <w:pStyle w:val="BodyText"/>
        <w:rPr>
          <w:b/>
          <w:sz w:val="20"/>
        </w:rPr>
      </w:pPr>
    </w:p>
    <w:p>
      <w:pPr>
        <w:pStyle w:val="BodyText"/>
        <w:spacing w:before="2"/>
        <w:rPr>
          <w:b/>
          <w:sz w:val="22"/>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279"/>
        <w:gridCol w:w="2098"/>
        <w:gridCol w:w="1976"/>
      </w:tblGrid>
      <w:tr>
        <w:trPr>
          <w:trHeight w:val="920" w:hRule="atLeast"/>
        </w:trPr>
        <w:tc>
          <w:tcPr>
            <w:tcW w:w="5279" w:type="dxa"/>
          </w:tcPr>
          <w:p>
            <w:pPr>
              <w:pStyle w:val="TableParagraph"/>
              <w:jc w:val="left"/>
              <w:rPr>
                <w:b/>
                <w:sz w:val="24"/>
              </w:rPr>
            </w:pPr>
          </w:p>
          <w:p>
            <w:pPr>
              <w:pStyle w:val="TableParagraph"/>
              <w:jc w:val="left"/>
              <w:rPr>
                <w:b/>
                <w:sz w:val="19"/>
              </w:rPr>
            </w:pPr>
          </w:p>
          <w:p>
            <w:pPr>
              <w:pStyle w:val="TableParagraph"/>
              <w:ind w:left="284" w:right="285"/>
              <w:rPr>
                <w:b/>
                <w:sz w:val="22"/>
              </w:rPr>
            </w:pPr>
            <w:r>
              <w:rPr>
                <w:b/>
                <w:sz w:val="22"/>
              </w:rPr>
              <w:t>District</w:t>
            </w:r>
          </w:p>
        </w:tc>
        <w:tc>
          <w:tcPr>
            <w:tcW w:w="2098" w:type="dxa"/>
          </w:tcPr>
          <w:p>
            <w:pPr>
              <w:pStyle w:val="TableParagraph"/>
              <w:spacing w:before="1"/>
              <w:jc w:val="left"/>
              <w:rPr>
                <w:b/>
                <w:sz w:val="21"/>
              </w:rPr>
            </w:pPr>
          </w:p>
          <w:p>
            <w:pPr>
              <w:pStyle w:val="TableParagraph"/>
              <w:ind w:left="436" w:right="223" w:hanging="205"/>
              <w:jc w:val="left"/>
              <w:rPr>
                <w:b/>
                <w:sz w:val="22"/>
              </w:rPr>
            </w:pPr>
            <w:r>
              <w:rPr>
                <w:b/>
                <w:sz w:val="22"/>
              </w:rPr>
              <w:t>Superintendent Salary 2015</w:t>
            </w:r>
          </w:p>
        </w:tc>
        <w:tc>
          <w:tcPr>
            <w:tcW w:w="1976" w:type="dxa"/>
          </w:tcPr>
          <w:p>
            <w:pPr>
              <w:pStyle w:val="TableParagraph"/>
              <w:ind w:left="381" w:right="382" w:firstLine="1"/>
              <w:rPr>
                <w:b/>
                <w:sz w:val="22"/>
              </w:rPr>
            </w:pPr>
            <w:r>
              <w:rPr>
                <w:b/>
                <w:sz w:val="22"/>
              </w:rPr>
              <w:t>Number of Students in District</w:t>
            </w:r>
          </w:p>
        </w:tc>
      </w:tr>
      <w:tr>
        <w:trPr>
          <w:trHeight w:val="440" w:hRule="atLeast"/>
        </w:trPr>
        <w:tc>
          <w:tcPr>
            <w:tcW w:w="5279" w:type="dxa"/>
          </w:tcPr>
          <w:p>
            <w:pPr>
              <w:pStyle w:val="TableParagraph"/>
              <w:spacing w:line="250" w:lineRule="exact"/>
              <w:ind w:left="285" w:right="285"/>
              <w:rPr>
                <w:sz w:val="22"/>
              </w:rPr>
            </w:pPr>
            <w:r>
              <w:rPr>
                <w:sz w:val="22"/>
              </w:rPr>
              <w:t>Tombstone Unified District</w:t>
            </w:r>
          </w:p>
        </w:tc>
        <w:tc>
          <w:tcPr>
            <w:tcW w:w="2098" w:type="dxa"/>
          </w:tcPr>
          <w:p>
            <w:pPr>
              <w:pStyle w:val="TableParagraph"/>
              <w:spacing w:line="250" w:lineRule="exact"/>
              <w:ind w:left="645"/>
              <w:jc w:val="left"/>
              <w:rPr>
                <w:sz w:val="22"/>
              </w:rPr>
            </w:pPr>
            <w:r>
              <w:rPr>
                <w:sz w:val="22"/>
              </w:rPr>
              <w:t>$80,750</w:t>
            </w:r>
          </w:p>
        </w:tc>
        <w:tc>
          <w:tcPr>
            <w:tcW w:w="1976" w:type="dxa"/>
          </w:tcPr>
          <w:p>
            <w:pPr>
              <w:pStyle w:val="TableParagraph"/>
              <w:spacing w:line="250" w:lineRule="exact"/>
              <w:ind w:left="796"/>
              <w:jc w:val="left"/>
              <w:rPr>
                <w:sz w:val="22"/>
              </w:rPr>
            </w:pPr>
            <w:r>
              <w:rPr>
                <w:sz w:val="22"/>
              </w:rPr>
              <w:t>924</w:t>
            </w:r>
          </w:p>
        </w:tc>
      </w:tr>
      <w:tr>
        <w:trPr>
          <w:trHeight w:val="420" w:hRule="atLeast"/>
        </w:trPr>
        <w:tc>
          <w:tcPr>
            <w:tcW w:w="5279" w:type="dxa"/>
          </w:tcPr>
          <w:p>
            <w:pPr>
              <w:pStyle w:val="TableParagraph"/>
              <w:spacing w:line="248" w:lineRule="exact"/>
              <w:ind w:left="285" w:right="285"/>
              <w:rPr>
                <w:sz w:val="22"/>
              </w:rPr>
            </w:pPr>
            <w:r>
              <w:rPr>
                <w:sz w:val="22"/>
              </w:rPr>
              <w:t>Riverside Elementary District</w:t>
            </w:r>
          </w:p>
        </w:tc>
        <w:tc>
          <w:tcPr>
            <w:tcW w:w="2098" w:type="dxa"/>
          </w:tcPr>
          <w:p>
            <w:pPr>
              <w:pStyle w:val="TableParagraph"/>
              <w:spacing w:line="248" w:lineRule="exact"/>
              <w:ind w:right="580"/>
              <w:jc w:val="right"/>
              <w:rPr>
                <w:sz w:val="22"/>
              </w:rPr>
            </w:pPr>
            <w:r>
              <w:rPr>
                <w:sz w:val="22"/>
              </w:rPr>
              <w:t>$125,000</w:t>
            </w:r>
          </w:p>
        </w:tc>
        <w:tc>
          <w:tcPr>
            <w:tcW w:w="1976" w:type="dxa"/>
          </w:tcPr>
          <w:p>
            <w:pPr>
              <w:pStyle w:val="TableParagraph"/>
              <w:spacing w:line="248" w:lineRule="exact"/>
              <w:ind w:left="796"/>
              <w:jc w:val="left"/>
              <w:rPr>
                <w:sz w:val="22"/>
              </w:rPr>
            </w:pPr>
            <w:r>
              <w:rPr>
                <w:sz w:val="22"/>
              </w:rPr>
              <w:t>924</w:t>
            </w:r>
          </w:p>
        </w:tc>
      </w:tr>
      <w:tr>
        <w:trPr>
          <w:trHeight w:val="440" w:hRule="atLeast"/>
        </w:trPr>
        <w:tc>
          <w:tcPr>
            <w:tcW w:w="5279" w:type="dxa"/>
          </w:tcPr>
          <w:p>
            <w:pPr>
              <w:pStyle w:val="TableParagraph"/>
              <w:spacing w:line="250" w:lineRule="exact"/>
              <w:ind w:left="285" w:right="285"/>
              <w:rPr>
                <w:sz w:val="22"/>
              </w:rPr>
            </w:pPr>
            <w:r>
              <w:rPr>
                <w:sz w:val="22"/>
              </w:rPr>
              <w:t>Eloy Elementary District</w:t>
            </w:r>
          </w:p>
        </w:tc>
        <w:tc>
          <w:tcPr>
            <w:tcW w:w="2098" w:type="dxa"/>
          </w:tcPr>
          <w:p>
            <w:pPr>
              <w:pStyle w:val="TableParagraph"/>
              <w:spacing w:line="250" w:lineRule="exact"/>
              <w:ind w:left="645"/>
              <w:jc w:val="left"/>
              <w:rPr>
                <w:sz w:val="22"/>
              </w:rPr>
            </w:pPr>
            <w:r>
              <w:rPr>
                <w:sz w:val="22"/>
              </w:rPr>
              <w:t>$86,214</w:t>
            </w:r>
          </w:p>
        </w:tc>
        <w:tc>
          <w:tcPr>
            <w:tcW w:w="1976" w:type="dxa"/>
          </w:tcPr>
          <w:p>
            <w:pPr>
              <w:pStyle w:val="TableParagraph"/>
              <w:spacing w:line="250" w:lineRule="exact"/>
              <w:ind w:left="796"/>
              <w:jc w:val="left"/>
              <w:rPr>
                <w:sz w:val="22"/>
              </w:rPr>
            </w:pPr>
            <w:r>
              <w:rPr>
                <w:sz w:val="22"/>
              </w:rPr>
              <w:t>972</w:t>
            </w:r>
          </w:p>
        </w:tc>
      </w:tr>
      <w:tr>
        <w:trPr>
          <w:trHeight w:val="420" w:hRule="atLeast"/>
        </w:trPr>
        <w:tc>
          <w:tcPr>
            <w:tcW w:w="5279" w:type="dxa"/>
          </w:tcPr>
          <w:p>
            <w:pPr>
              <w:pStyle w:val="TableParagraph"/>
              <w:spacing w:line="250" w:lineRule="exact"/>
              <w:ind w:left="285" w:right="285"/>
              <w:rPr>
                <w:sz w:val="22"/>
              </w:rPr>
            </w:pPr>
            <w:r>
              <w:rPr>
                <w:sz w:val="22"/>
              </w:rPr>
              <w:t>Baboquivari Unified School District</w:t>
            </w:r>
          </w:p>
        </w:tc>
        <w:tc>
          <w:tcPr>
            <w:tcW w:w="2098" w:type="dxa"/>
          </w:tcPr>
          <w:p>
            <w:pPr>
              <w:pStyle w:val="TableParagraph"/>
              <w:spacing w:line="250" w:lineRule="exact"/>
              <w:ind w:right="580"/>
              <w:jc w:val="right"/>
              <w:rPr>
                <w:sz w:val="22"/>
              </w:rPr>
            </w:pPr>
            <w:r>
              <w:rPr>
                <w:sz w:val="22"/>
              </w:rPr>
              <w:t>$125,000</w:t>
            </w:r>
          </w:p>
        </w:tc>
        <w:tc>
          <w:tcPr>
            <w:tcW w:w="1976" w:type="dxa"/>
          </w:tcPr>
          <w:p>
            <w:pPr>
              <w:pStyle w:val="TableParagraph"/>
              <w:spacing w:line="250" w:lineRule="exact"/>
              <w:ind w:left="736"/>
              <w:jc w:val="left"/>
              <w:rPr>
                <w:sz w:val="22"/>
              </w:rPr>
            </w:pPr>
            <w:r>
              <w:rPr>
                <w:sz w:val="22"/>
              </w:rPr>
              <w:t>1009</w:t>
            </w:r>
          </w:p>
        </w:tc>
      </w:tr>
      <w:tr>
        <w:trPr>
          <w:trHeight w:val="440" w:hRule="atLeast"/>
        </w:trPr>
        <w:tc>
          <w:tcPr>
            <w:tcW w:w="5279" w:type="dxa"/>
          </w:tcPr>
          <w:p>
            <w:pPr>
              <w:pStyle w:val="TableParagraph"/>
              <w:ind w:left="285" w:right="285"/>
              <w:rPr>
                <w:sz w:val="22"/>
              </w:rPr>
            </w:pPr>
            <w:r>
              <w:rPr>
                <w:sz w:val="22"/>
              </w:rPr>
              <w:t>Fort Huachuca Accommodation District</w:t>
            </w:r>
          </w:p>
        </w:tc>
        <w:tc>
          <w:tcPr>
            <w:tcW w:w="2098" w:type="dxa"/>
          </w:tcPr>
          <w:p>
            <w:pPr>
              <w:pStyle w:val="TableParagraph"/>
              <w:ind w:left="645"/>
              <w:jc w:val="left"/>
              <w:rPr>
                <w:sz w:val="22"/>
              </w:rPr>
            </w:pPr>
            <w:r>
              <w:rPr>
                <w:sz w:val="22"/>
              </w:rPr>
              <w:t>$95,200</w:t>
            </w:r>
          </w:p>
        </w:tc>
        <w:tc>
          <w:tcPr>
            <w:tcW w:w="1976" w:type="dxa"/>
          </w:tcPr>
          <w:p>
            <w:pPr>
              <w:pStyle w:val="TableParagraph"/>
              <w:ind w:left="736"/>
              <w:jc w:val="left"/>
              <w:rPr>
                <w:sz w:val="22"/>
              </w:rPr>
            </w:pPr>
            <w:r>
              <w:rPr>
                <w:sz w:val="22"/>
              </w:rPr>
              <w:t>1010</w:t>
            </w:r>
          </w:p>
        </w:tc>
      </w:tr>
      <w:tr>
        <w:trPr>
          <w:trHeight w:val="420" w:hRule="atLeast"/>
        </w:trPr>
        <w:tc>
          <w:tcPr>
            <w:tcW w:w="5279" w:type="dxa"/>
          </w:tcPr>
          <w:p>
            <w:pPr>
              <w:pStyle w:val="TableParagraph"/>
              <w:spacing w:line="248" w:lineRule="exact"/>
              <w:ind w:left="285" w:right="285"/>
              <w:rPr>
                <w:sz w:val="22"/>
              </w:rPr>
            </w:pPr>
            <w:r>
              <w:rPr>
                <w:sz w:val="22"/>
              </w:rPr>
              <w:t>Palominas Elementary District</w:t>
            </w:r>
          </w:p>
        </w:tc>
        <w:tc>
          <w:tcPr>
            <w:tcW w:w="2098" w:type="dxa"/>
          </w:tcPr>
          <w:p>
            <w:pPr>
              <w:pStyle w:val="TableParagraph"/>
              <w:spacing w:line="248" w:lineRule="exact"/>
              <w:ind w:left="645"/>
              <w:jc w:val="left"/>
              <w:rPr>
                <w:sz w:val="22"/>
              </w:rPr>
            </w:pPr>
            <w:r>
              <w:rPr>
                <w:sz w:val="22"/>
              </w:rPr>
              <w:t>$65,661</w:t>
            </w:r>
          </w:p>
        </w:tc>
        <w:tc>
          <w:tcPr>
            <w:tcW w:w="1976" w:type="dxa"/>
          </w:tcPr>
          <w:p>
            <w:pPr>
              <w:pStyle w:val="TableParagraph"/>
              <w:spacing w:line="248" w:lineRule="exact"/>
              <w:ind w:left="736"/>
              <w:jc w:val="left"/>
              <w:rPr>
                <w:sz w:val="22"/>
              </w:rPr>
            </w:pPr>
            <w:r>
              <w:rPr>
                <w:sz w:val="22"/>
              </w:rPr>
              <w:t>1058</w:t>
            </w:r>
          </w:p>
        </w:tc>
      </w:tr>
      <w:tr>
        <w:trPr>
          <w:trHeight w:val="440" w:hRule="atLeast"/>
        </w:trPr>
        <w:tc>
          <w:tcPr>
            <w:tcW w:w="5279" w:type="dxa"/>
          </w:tcPr>
          <w:p>
            <w:pPr>
              <w:pStyle w:val="TableParagraph"/>
              <w:spacing w:line="250" w:lineRule="exact"/>
              <w:ind w:left="285" w:right="285"/>
              <w:rPr>
                <w:sz w:val="22"/>
              </w:rPr>
            </w:pPr>
            <w:r>
              <w:rPr>
                <w:sz w:val="22"/>
              </w:rPr>
              <w:t>Willcox Unified District</w:t>
            </w:r>
          </w:p>
        </w:tc>
        <w:tc>
          <w:tcPr>
            <w:tcW w:w="2098" w:type="dxa"/>
          </w:tcPr>
          <w:p>
            <w:pPr>
              <w:pStyle w:val="TableParagraph"/>
              <w:spacing w:line="250" w:lineRule="exact"/>
              <w:ind w:right="580"/>
              <w:jc w:val="right"/>
              <w:rPr>
                <w:sz w:val="22"/>
              </w:rPr>
            </w:pPr>
            <w:r>
              <w:rPr>
                <w:sz w:val="22"/>
              </w:rPr>
              <w:t>$112,488</w:t>
            </w:r>
          </w:p>
        </w:tc>
        <w:tc>
          <w:tcPr>
            <w:tcW w:w="1976" w:type="dxa"/>
          </w:tcPr>
          <w:p>
            <w:pPr>
              <w:pStyle w:val="TableParagraph"/>
              <w:spacing w:line="250" w:lineRule="exact"/>
              <w:ind w:left="736"/>
              <w:jc w:val="left"/>
              <w:rPr>
                <w:sz w:val="22"/>
              </w:rPr>
            </w:pPr>
            <w:r>
              <w:rPr>
                <w:sz w:val="22"/>
              </w:rPr>
              <w:t>1148</w:t>
            </w:r>
          </w:p>
        </w:tc>
      </w:tr>
      <w:tr>
        <w:trPr>
          <w:trHeight w:val="420" w:hRule="atLeast"/>
        </w:trPr>
        <w:tc>
          <w:tcPr>
            <w:tcW w:w="5279" w:type="dxa"/>
          </w:tcPr>
          <w:p>
            <w:pPr>
              <w:pStyle w:val="TableParagraph"/>
              <w:spacing w:line="248" w:lineRule="exact"/>
              <w:ind w:left="285" w:right="285"/>
              <w:rPr>
                <w:sz w:val="22"/>
              </w:rPr>
            </w:pPr>
            <w:r>
              <w:rPr>
                <w:sz w:val="22"/>
              </w:rPr>
              <w:t>Miami Unified School District</w:t>
            </w:r>
          </w:p>
        </w:tc>
        <w:tc>
          <w:tcPr>
            <w:tcW w:w="2098" w:type="dxa"/>
          </w:tcPr>
          <w:p>
            <w:pPr>
              <w:pStyle w:val="TableParagraph"/>
              <w:spacing w:line="248" w:lineRule="exact"/>
              <w:ind w:right="580"/>
              <w:jc w:val="right"/>
              <w:rPr>
                <w:sz w:val="22"/>
              </w:rPr>
            </w:pPr>
            <w:r>
              <w:rPr>
                <w:sz w:val="22"/>
              </w:rPr>
              <w:t>$110,000</w:t>
            </w:r>
          </w:p>
        </w:tc>
        <w:tc>
          <w:tcPr>
            <w:tcW w:w="1976" w:type="dxa"/>
          </w:tcPr>
          <w:p>
            <w:pPr>
              <w:pStyle w:val="TableParagraph"/>
              <w:spacing w:line="248" w:lineRule="exact"/>
              <w:ind w:left="736"/>
              <w:jc w:val="left"/>
              <w:rPr>
                <w:sz w:val="22"/>
              </w:rPr>
            </w:pPr>
            <w:r>
              <w:rPr>
                <w:sz w:val="22"/>
              </w:rPr>
              <w:t>1153</w:t>
            </w:r>
          </w:p>
        </w:tc>
      </w:tr>
      <w:tr>
        <w:trPr>
          <w:trHeight w:val="440" w:hRule="atLeast"/>
        </w:trPr>
        <w:tc>
          <w:tcPr>
            <w:tcW w:w="5279" w:type="dxa"/>
          </w:tcPr>
          <w:p>
            <w:pPr>
              <w:pStyle w:val="TableParagraph"/>
              <w:spacing w:line="250" w:lineRule="exact"/>
              <w:ind w:left="285" w:right="285"/>
              <w:rPr>
                <w:sz w:val="22"/>
              </w:rPr>
            </w:pPr>
            <w:r>
              <w:rPr>
                <w:sz w:val="22"/>
              </w:rPr>
              <w:t>Toltec School District</w:t>
            </w:r>
          </w:p>
        </w:tc>
        <w:tc>
          <w:tcPr>
            <w:tcW w:w="2098" w:type="dxa"/>
          </w:tcPr>
          <w:p>
            <w:pPr>
              <w:pStyle w:val="TableParagraph"/>
              <w:spacing w:line="250" w:lineRule="exact"/>
              <w:ind w:left="645"/>
              <w:jc w:val="left"/>
              <w:rPr>
                <w:sz w:val="22"/>
              </w:rPr>
            </w:pPr>
            <w:r>
              <w:rPr>
                <w:sz w:val="22"/>
              </w:rPr>
              <w:t>$90,000</w:t>
            </w:r>
          </w:p>
        </w:tc>
        <w:tc>
          <w:tcPr>
            <w:tcW w:w="1976" w:type="dxa"/>
          </w:tcPr>
          <w:p>
            <w:pPr>
              <w:pStyle w:val="TableParagraph"/>
              <w:spacing w:line="250" w:lineRule="exact"/>
              <w:ind w:left="736"/>
              <w:jc w:val="left"/>
              <w:rPr>
                <w:sz w:val="22"/>
              </w:rPr>
            </w:pPr>
            <w:r>
              <w:rPr>
                <w:sz w:val="22"/>
              </w:rPr>
              <w:t>1189</w:t>
            </w:r>
          </w:p>
        </w:tc>
      </w:tr>
      <w:tr>
        <w:trPr>
          <w:trHeight w:val="420" w:hRule="atLeast"/>
        </w:trPr>
        <w:tc>
          <w:tcPr>
            <w:tcW w:w="5279" w:type="dxa"/>
          </w:tcPr>
          <w:p>
            <w:pPr>
              <w:pStyle w:val="TableParagraph"/>
              <w:spacing w:line="248" w:lineRule="exact"/>
              <w:ind w:left="285" w:right="285"/>
              <w:rPr>
                <w:sz w:val="22"/>
              </w:rPr>
            </w:pPr>
            <w:r>
              <w:rPr>
                <w:sz w:val="22"/>
              </w:rPr>
              <w:t>Mingus Union High School</w:t>
            </w:r>
          </w:p>
        </w:tc>
        <w:tc>
          <w:tcPr>
            <w:tcW w:w="2098" w:type="dxa"/>
          </w:tcPr>
          <w:p>
            <w:pPr>
              <w:pStyle w:val="TableParagraph"/>
              <w:spacing w:line="248" w:lineRule="exact"/>
              <w:ind w:right="580"/>
              <w:jc w:val="right"/>
              <w:rPr>
                <w:sz w:val="22"/>
              </w:rPr>
            </w:pPr>
            <w:r>
              <w:rPr>
                <w:sz w:val="22"/>
              </w:rPr>
              <w:t>$103,500</w:t>
            </w:r>
          </w:p>
        </w:tc>
        <w:tc>
          <w:tcPr>
            <w:tcW w:w="1976" w:type="dxa"/>
          </w:tcPr>
          <w:p>
            <w:pPr>
              <w:pStyle w:val="TableParagraph"/>
              <w:spacing w:line="248" w:lineRule="exact"/>
              <w:ind w:left="736"/>
              <w:jc w:val="left"/>
              <w:rPr>
                <w:sz w:val="22"/>
              </w:rPr>
            </w:pPr>
            <w:r>
              <w:rPr>
                <w:sz w:val="22"/>
              </w:rPr>
              <w:t>1204</w:t>
            </w:r>
          </w:p>
        </w:tc>
      </w:tr>
      <w:tr>
        <w:trPr>
          <w:trHeight w:val="440" w:hRule="atLeast"/>
        </w:trPr>
        <w:tc>
          <w:tcPr>
            <w:tcW w:w="5279" w:type="dxa"/>
          </w:tcPr>
          <w:p>
            <w:pPr>
              <w:pStyle w:val="TableParagraph"/>
              <w:spacing w:line="248" w:lineRule="exact"/>
              <w:ind w:left="285" w:right="285"/>
              <w:rPr>
                <w:b/>
                <w:sz w:val="22"/>
              </w:rPr>
            </w:pPr>
            <w:r>
              <w:rPr>
                <w:b/>
                <w:sz w:val="22"/>
              </w:rPr>
              <w:t>Average for Districts with 600-1200 Students</w:t>
            </w:r>
          </w:p>
        </w:tc>
        <w:tc>
          <w:tcPr>
            <w:tcW w:w="2098" w:type="dxa"/>
          </w:tcPr>
          <w:p>
            <w:pPr>
              <w:pStyle w:val="TableParagraph"/>
              <w:spacing w:line="248" w:lineRule="exact"/>
              <w:ind w:right="580"/>
              <w:jc w:val="right"/>
              <w:rPr>
                <w:b/>
                <w:sz w:val="22"/>
              </w:rPr>
            </w:pPr>
            <w:r>
              <w:rPr>
                <w:b/>
                <w:sz w:val="22"/>
              </w:rPr>
              <w:t>$104,939</w:t>
            </w:r>
          </w:p>
        </w:tc>
        <w:tc>
          <w:tcPr>
            <w:tcW w:w="1976" w:type="dxa"/>
          </w:tcPr>
          <w:p>
            <w:pPr>
              <w:pStyle w:val="TableParagraph"/>
              <w:jc w:val="left"/>
              <w:rPr>
                <w:rFonts w:ascii="Times New Roman"/>
                <w:sz w:val="20"/>
              </w:rPr>
            </w:pPr>
          </w:p>
        </w:tc>
      </w:tr>
      <w:tr>
        <w:trPr>
          <w:trHeight w:val="700" w:hRule="atLeast"/>
        </w:trPr>
        <w:tc>
          <w:tcPr>
            <w:tcW w:w="5279" w:type="dxa"/>
          </w:tcPr>
          <w:p>
            <w:pPr>
              <w:pStyle w:val="TableParagraph"/>
              <w:ind w:left="1807" w:right="214" w:hanging="1577"/>
              <w:jc w:val="left"/>
              <w:rPr>
                <w:b/>
                <w:sz w:val="22"/>
              </w:rPr>
            </w:pPr>
            <w:r>
              <w:rPr>
                <w:b/>
                <w:sz w:val="22"/>
              </w:rPr>
              <w:t>Average for top 50% of districts per pupil with outlier removed</w:t>
            </w:r>
          </w:p>
        </w:tc>
        <w:tc>
          <w:tcPr>
            <w:tcW w:w="2098" w:type="dxa"/>
          </w:tcPr>
          <w:p>
            <w:pPr>
              <w:pStyle w:val="TableParagraph"/>
              <w:jc w:val="left"/>
              <w:rPr>
                <w:b/>
                <w:sz w:val="21"/>
              </w:rPr>
            </w:pPr>
          </w:p>
          <w:p>
            <w:pPr>
              <w:pStyle w:val="TableParagraph"/>
              <w:ind w:right="504"/>
              <w:jc w:val="right"/>
              <w:rPr>
                <w:b/>
                <w:sz w:val="22"/>
              </w:rPr>
            </w:pPr>
            <w:r>
              <w:rPr>
                <w:b/>
                <w:sz w:val="22"/>
              </w:rPr>
              <w:t>$136/pupil</w:t>
            </w:r>
          </w:p>
        </w:tc>
        <w:tc>
          <w:tcPr>
            <w:tcW w:w="1976" w:type="dxa"/>
          </w:tcPr>
          <w:p>
            <w:pPr>
              <w:pStyle w:val="TableParagraph"/>
              <w:jc w:val="left"/>
              <w:rPr>
                <w:rFonts w:ascii="Times New Roman"/>
                <w:sz w:val="20"/>
              </w:rPr>
            </w:pPr>
          </w:p>
        </w:tc>
      </w:tr>
      <w:tr>
        <w:trPr>
          <w:trHeight w:val="700" w:hRule="atLeast"/>
        </w:trPr>
        <w:tc>
          <w:tcPr>
            <w:tcW w:w="5279" w:type="dxa"/>
          </w:tcPr>
          <w:p>
            <w:pPr>
              <w:pStyle w:val="TableParagraph"/>
              <w:spacing w:line="242" w:lineRule="auto"/>
              <w:ind w:left="1814" w:right="212" w:hanging="1582"/>
              <w:jc w:val="left"/>
              <w:rPr>
                <w:b/>
                <w:sz w:val="22"/>
              </w:rPr>
            </w:pPr>
            <w:r>
              <w:rPr>
                <w:b/>
                <w:sz w:val="22"/>
              </w:rPr>
              <w:t>Average for top 50% of districts per pupil with outlier included</w:t>
            </w:r>
          </w:p>
        </w:tc>
        <w:tc>
          <w:tcPr>
            <w:tcW w:w="2098" w:type="dxa"/>
          </w:tcPr>
          <w:p>
            <w:pPr>
              <w:pStyle w:val="TableParagraph"/>
              <w:jc w:val="left"/>
              <w:rPr>
                <w:b/>
                <w:sz w:val="21"/>
              </w:rPr>
            </w:pPr>
          </w:p>
          <w:p>
            <w:pPr>
              <w:pStyle w:val="TableParagraph"/>
              <w:ind w:right="504"/>
              <w:jc w:val="right"/>
              <w:rPr>
                <w:b/>
                <w:sz w:val="22"/>
              </w:rPr>
            </w:pPr>
            <w:r>
              <w:rPr>
                <w:b/>
                <w:sz w:val="22"/>
              </w:rPr>
              <w:t>$153/pupil</w:t>
            </w:r>
          </w:p>
        </w:tc>
        <w:tc>
          <w:tcPr>
            <w:tcW w:w="1976" w:type="dxa"/>
          </w:tcPr>
          <w:p>
            <w:pPr>
              <w:pStyle w:val="TableParagraph"/>
              <w:jc w:val="left"/>
              <w:rPr>
                <w:rFonts w:ascii="Times New Roman"/>
                <w:sz w:val="20"/>
              </w:rPr>
            </w:pPr>
          </w:p>
        </w:tc>
      </w:tr>
    </w:tbl>
    <w:p>
      <w:pPr>
        <w:pStyle w:val="BodyText"/>
        <w:rPr>
          <w:b/>
          <w:sz w:val="20"/>
        </w:rPr>
      </w:pPr>
    </w:p>
    <w:p>
      <w:pPr>
        <w:pStyle w:val="BodyText"/>
        <w:spacing w:before="11"/>
        <w:rPr>
          <w:b/>
          <w:sz w:val="21"/>
        </w:rPr>
      </w:pPr>
    </w:p>
    <w:p>
      <w:pPr>
        <w:pStyle w:val="BodyText"/>
        <w:ind w:left="220"/>
      </w:pPr>
      <w:r>
        <w:rPr/>
        <w:t>A sample set of large districts' superintendent compensation is included below.</w:t>
      </w:r>
    </w:p>
    <w:p>
      <w:pPr>
        <w:pStyle w:val="BodyText"/>
        <w:spacing w:before="9"/>
        <w:rPr>
          <w:sz w:val="20"/>
        </w:rPr>
      </w:pPr>
    </w:p>
    <w:p>
      <w:pPr>
        <w:pStyle w:val="Heading2"/>
        <w:spacing w:after="47"/>
        <w:ind w:left="220"/>
      </w:pPr>
      <w:bookmarkStart w:name="_bookmark45" w:id="46"/>
      <w:bookmarkEnd w:id="46"/>
      <w:r>
        <w:rPr>
          <w:b w:val="0"/>
        </w:rPr>
      </w:r>
      <w:r>
        <w:rPr>
          <w:color w:val="4F81BC"/>
        </w:rPr>
        <w:t>Table 3: Sample Salaries of Superintendents in Large Districts</w:t>
      </w: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05"/>
        <w:gridCol w:w="1135"/>
        <w:gridCol w:w="1505"/>
      </w:tblGrid>
      <w:tr>
        <w:trPr>
          <w:trHeight w:val="780" w:hRule="atLeast"/>
        </w:trPr>
        <w:tc>
          <w:tcPr>
            <w:tcW w:w="6205" w:type="dxa"/>
          </w:tcPr>
          <w:p>
            <w:pPr>
              <w:pStyle w:val="TableParagraph"/>
              <w:spacing w:line="276" w:lineRule="auto"/>
              <w:ind w:left="2477" w:hanging="2261"/>
              <w:jc w:val="left"/>
              <w:rPr>
                <w:b/>
                <w:sz w:val="22"/>
              </w:rPr>
            </w:pPr>
            <w:r>
              <w:rPr>
                <w:b/>
                <w:sz w:val="22"/>
              </w:rPr>
              <w:t>Sample Set of District Superintendent Salaries (LARGE DISTRICTS)</w:t>
            </w:r>
          </w:p>
        </w:tc>
        <w:tc>
          <w:tcPr>
            <w:tcW w:w="1135" w:type="dxa"/>
          </w:tcPr>
          <w:p>
            <w:pPr>
              <w:pStyle w:val="TableParagraph"/>
              <w:spacing w:before="5"/>
              <w:jc w:val="left"/>
              <w:rPr>
                <w:b/>
                <w:sz w:val="24"/>
              </w:rPr>
            </w:pPr>
          </w:p>
          <w:p>
            <w:pPr>
              <w:pStyle w:val="TableParagraph"/>
              <w:ind w:left="83" w:right="81"/>
              <w:rPr>
                <w:b/>
                <w:sz w:val="22"/>
              </w:rPr>
            </w:pPr>
            <w:r>
              <w:rPr>
                <w:b/>
                <w:sz w:val="22"/>
              </w:rPr>
              <w:t>Salary</w:t>
            </w:r>
          </w:p>
        </w:tc>
        <w:tc>
          <w:tcPr>
            <w:tcW w:w="1505" w:type="dxa"/>
          </w:tcPr>
          <w:p>
            <w:pPr>
              <w:pStyle w:val="TableParagraph"/>
              <w:spacing w:line="276" w:lineRule="auto"/>
              <w:ind w:left="275" w:right="182" w:hanging="82"/>
              <w:jc w:val="left"/>
              <w:rPr>
                <w:b/>
                <w:sz w:val="22"/>
              </w:rPr>
            </w:pPr>
            <w:r>
              <w:rPr>
                <w:b/>
                <w:sz w:val="22"/>
              </w:rPr>
              <w:t>Number of Students</w:t>
            </w:r>
          </w:p>
        </w:tc>
      </w:tr>
      <w:tr>
        <w:trPr>
          <w:trHeight w:val="460" w:hRule="atLeast"/>
        </w:trPr>
        <w:tc>
          <w:tcPr>
            <w:tcW w:w="6205" w:type="dxa"/>
          </w:tcPr>
          <w:p>
            <w:pPr>
              <w:pStyle w:val="TableParagraph"/>
              <w:spacing w:line="248" w:lineRule="exact"/>
              <w:ind w:left="1175" w:right="1175"/>
              <w:rPr>
                <w:sz w:val="22"/>
              </w:rPr>
            </w:pPr>
            <w:r>
              <w:rPr>
                <w:sz w:val="22"/>
              </w:rPr>
              <w:t>Higley Unified School District</w:t>
            </w:r>
          </w:p>
        </w:tc>
        <w:tc>
          <w:tcPr>
            <w:tcW w:w="1135" w:type="dxa"/>
          </w:tcPr>
          <w:p>
            <w:pPr>
              <w:pStyle w:val="TableParagraph"/>
              <w:spacing w:line="248" w:lineRule="exact"/>
              <w:ind w:left="83" w:right="83"/>
              <w:rPr>
                <w:sz w:val="22"/>
              </w:rPr>
            </w:pPr>
            <w:r>
              <w:rPr>
                <w:sz w:val="22"/>
              </w:rPr>
              <w:t>$160,100</w:t>
            </w:r>
          </w:p>
        </w:tc>
        <w:tc>
          <w:tcPr>
            <w:tcW w:w="1505" w:type="dxa"/>
          </w:tcPr>
          <w:p>
            <w:pPr>
              <w:pStyle w:val="TableParagraph"/>
              <w:spacing w:line="248" w:lineRule="exact"/>
              <w:ind w:left="410"/>
              <w:jc w:val="left"/>
              <w:rPr>
                <w:sz w:val="22"/>
              </w:rPr>
            </w:pPr>
            <w:r>
              <w:rPr>
                <w:sz w:val="22"/>
              </w:rPr>
              <w:t>11,460</w:t>
            </w:r>
          </w:p>
        </w:tc>
      </w:tr>
      <w:tr>
        <w:trPr>
          <w:trHeight w:val="480" w:hRule="atLeast"/>
        </w:trPr>
        <w:tc>
          <w:tcPr>
            <w:tcW w:w="6205" w:type="dxa"/>
          </w:tcPr>
          <w:p>
            <w:pPr>
              <w:pStyle w:val="TableParagraph"/>
              <w:spacing w:line="250" w:lineRule="exact"/>
              <w:ind w:left="1175" w:right="1176"/>
              <w:rPr>
                <w:sz w:val="22"/>
              </w:rPr>
            </w:pPr>
            <w:r>
              <w:rPr>
                <w:sz w:val="22"/>
              </w:rPr>
              <w:t>Washington Elementary School District</w:t>
            </w:r>
          </w:p>
        </w:tc>
        <w:tc>
          <w:tcPr>
            <w:tcW w:w="1135" w:type="dxa"/>
          </w:tcPr>
          <w:p>
            <w:pPr>
              <w:pStyle w:val="TableParagraph"/>
              <w:spacing w:line="250" w:lineRule="exact"/>
              <w:ind w:left="83" w:right="83"/>
              <w:rPr>
                <w:sz w:val="22"/>
              </w:rPr>
            </w:pPr>
            <w:r>
              <w:rPr>
                <w:sz w:val="22"/>
              </w:rPr>
              <w:t>$195,300</w:t>
            </w:r>
          </w:p>
        </w:tc>
        <w:tc>
          <w:tcPr>
            <w:tcW w:w="1505" w:type="dxa"/>
          </w:tcPr>
          <w:p>
            <w:pPr>
              <w:pStyle w:val="TableParagraph"/>
              <w:spacing w:line="250" w:lineRule="exact"/>
              <w:ind w:left="410"/>
              <w:jc w:val="left"/>
              <w:rPr>
                <w:sz w:val="22"/>
              </w:rPr>
            </w:pPr>
            <w:r>
              <w:rPr>
                <w:sz w:val="22"/>
              </w:rPr>
              <w:t>23,278</w:t>
            </w:r>
          </w:p>
        </w:tc>
      </w:tr>
      <w:tr>
        <w:trPr>
          <w:trHeight w:val="460" w:hRule="atLeast"/>
        </w:trPr>
        <w:tc>
          <w:tcPr>
            <w:tcW w:w="6205" w:type="dxa"/>
          </w:tcPr>
          <w:p>
            <w:pPr>
              <w:pStyle w:val="TableParagraph"/>
              <w:spacing w:line="248" w:lineRule="exact"/>
              <w:ind w:left="1175" w:right="1175"/>
              <w:rPr>
                <w:sz w:val="22"/>
              </w:rPr>
            </w:pPr>
            <w:r>
              <w:rPr>
                <w:sz w:val="22"/>
              </w:rPr>
              <w:t>Scottsdale Unified District</w:t>
            </w:r>
          </w:p>
        </w:tc>
        <w:tc>
          <w:tcPr>
            <w:tcW w:w="1135" w:type="dxa"/>
          </w:tcPr>
          <w:p>
            <w:pPr>
              <w:pStyle w:val="TableParagraph"/>
              <w:spacing w:line="248" w:lineRule="exact"/>
              <w:ind w:left="83" w:right="83"/>
              <w:rPr>
                <w:sz w:val="22"/>
              </w:rPr>
            </w:pPr>
            <w:r>
              <w:rPr>
                <w:sz w:val="22"/>
              </w:rPr>
              <w:t>$202,980</w:t>
            </w:r>
          </w:p>
        </w:tc>
        <w:tc>
          <w:tcPr>
            <w:tcW w:w="1505" w:type="dxa"/>
          </w:tcPr>
          <w:p>
            <w:pPr>
              <w:pStyle w:val="TableParagraph"/>
              <w:spacing w:line="248" w:lineRule="exact"/>
              <w:ind w:left="410"/>
              <w:jc w:val="left"/>
              <w:rPr>
                <w:sz w:val="22"/>
              </w:rPr>
            </w:pPr>
            <w:r>
              <w:rPr>
                <w:sz w:val="22"/>
              </w:rPr>
              <w:t>24,445</w:t>
            </w:r>
          </w:p>
        </w:tc>
      </w:tr>
      <w:tr>
        <w:trPr>
          <w:trHeight w:val="460" w:hRule="atLeast"/>
        </w:trPr>
        <w:tc>
          <w:tcPr>
            <w:tcW w:w="6205" w:type="dxa"/>
          </w:tcPr>
          <w:p>
            <w:pPr>
              <w:pStyle w:val="TableParagraph"/>
              <w:spacing w:line="248" w:lineRule="exact"/>
              <w:ind w:left="1175" w:right="1175"/>
              <w:rPr>
                <w:sz w:val="22"/>
              </w:rPr>
            </w:pPr>
            <w:r>
              <w:rPr>
                <w:sz w:val="22"/>
              </w:rPr>
              <w:t>Roosevelt Elementary District</w:t>
            </w:r>
          </w:p>
        </w:tc>
        <w:tc>
          <w:tcPr>
            <w:tcW w:w="1135" w:type="dxa"/>
          </w:tcPr>
          <w:p>
            <w:pPr>
              <w:pStyle w:val="TableParagraph"/>
              <w:spacing w:line="248" w:lineRule="exact"/>
              <w:ind w:left="83" w:right="83"/>
              <w:rPr>
                <w:sz w:val="22"/>
              </w:rPr>
            </w:pPr>
            <w:r>
              <w:rPr>
                <w:sz w:val="22"/>
              </w:rPr>
              <w:t>$158,250</w:t>
            </w:r>
          </w:p>
        </w:tc>
        <w:tc>
          <w:tcPr>
            <w:tcW w:w="1505" w:type="dxa"/>
          </w:tcPr>
          <w:p>
            <w:pPr>
              <w:pStyle w:val="TableParagraph"/>
              <w:spacing w:line="248" w:lineRule="exact"/>
              <w:ind w:left="472"/>
              <w:jc w:val="left"/>
              <w:rPr>
                <w:sz w:val="22"/>
              </w:rPr>
            </w:pPr>
            <w:r>
              <w:rPr>
                <w:sz w:val="22"/>
              </w:rPr>
              <w:t>9,913</w:t>
            </w:r>
          </w:p>
        </w:tc>
      </w:tr>
      <w:tr>
        <w:trPr>
          <w:trHeight w:val="480" w:hRule="atLeast"/>
        </w:trPr>
        <w:tc>
          <w:tcPr>
            <w:tcW w:w="6205" w:type="dxa"/>
          </w:tcPr>
          <w:p>
            <w:pPr>
              <w:pStyle w:val="TableParagraph"/>
              <w:spacing w:line="248" w:lineRule="exact"/>
              <w:ind w:left="1175" w:right="1175"/>
              <w:rPr>
                <w:sz w:val="22"/>
              </w:rPr>
            </w:pPr>
            <w:r>
              <w:rPr>
                <w:sz w:val="22"/>
              </w:rPr>
              <w:t>Pendergast Elementary District</w:t>
            </w:r>
          </w:p>
        </w:tc>
        <w:tc>
          <w:tcPr>
            <w:tcW w:w="1135" w:type="dxa"/>
          </w:tcPr>
          <w:p>
            <w:pPr>
              <w:pStyle w:val="TableParagraph"/>
              <w:spacing w:line="248" w:lineRule="exact"/>
              <w:ind w:left="83" w:right="83"/>
              <w:rPr>
                <w:sz w:val="22"/>
              </w:rPr>
            </w:pPr>
            <w:r>
              <w:rPr>
                <w:sz w:val="22"/>
              </w:rPr>
              <w:t>$157,500</w:t>
            </w:r>
          </w:p>
        </w:tc>
        <w:tc>
          <w:tcPr>
            <w:tcW w:w="1505" w:type="dxa"/>
          </w:tcPr>
          <w:p>
            <w:pPr>
              <w:pStyle w:val="TableParagraph"/>
              <w:spacing w:line="248" w:lineRule="exact"/>
              <w:ind w:left="410"/>
              <w:jc w:val="left"/>
              <w:rPr>
                <w:sz w:val="22"/>
              </w:rPr>
            </w:pPr>
            <w:r>
              <w:rPr>
                <w:sz w:val="22"/>
              </w:rPr>
              <w:t>10,022</w:t>
            </w:r>
          </w:p>
        </w:tc>
      </w:tr>
      <w:tr>
        <w:trPr>
          <w:trHeight w:val="460" w:hRule="atLeast"/>
        </w:trPr>
        <w:tc>
          <w:tcPr>
            <w:tcW w:w="6205" w:type="dxa"/>
          </w:tcPr>
          <w:p>
            <w:pPr>
              <w:pStyle w:val="TableParagraph"/>
              <w:spacing w:line="250" w:lineRule="exact"/>
              <w:ind w:left="1175" w:right="1176"/>
              <w:rPr>
                <w:sz w:val="22"/>
              </w:rPr>
            </w:pPr>
            <w:r>
              <w:rPr>
                <w:sz w:val="22"/>
              </w:rPr>
              <w:t>Yuma Union High School District</w:t>
            </w:r>
          </w:p>
        </w:tc>
        <w:tc>
          <w:tcPr>
            <w:tcW w:w="1135" w:type="dxa"/>
          </w:tcPr>
          <w:p>
            <w:pPr>
              <w:pStyle w:val="TableParagraph"/>
              <w:spacing w:line="250" w:lineRule="exact"/>
              <w:ind w:left="83" w:right="83"/>
              <w:rPr>
                <w:sz w:val="22"/>
              </w:rPr>
            </w:pPr>
            <w:r>
              <w:rPr>
                <w:sz w:val="22"/>
              </w:rPr>
              <w:t>$143,868</w:t>
            </w:r>
          </w:p>
        </w:tc>
        <w:tc>
          <w:tcPr>
            <w:tcW w:w="1505" w:type="dxa"/>
          </w:tcPr>
          <w:p>
            <w:pPr>
              <w:pStyle w:val="TableParagraph"/>
              <w:spacing w:line="250" w:lineRule="exact"/>
              <w:ind w:left="410"/>
              <w:jc w:val="left"/>
              <w:rPr>
                <w:sz w:val="22"/>
              </w:rPr>
            </w:pPr>
            <w:r>
              <w:rPr>
                <w:sz w:val="22"/>
              </w:rPr>
              <w:t>10,682</w:t>
            </w:r>
          </w:p>
        </w:tc>
      </w:tr>
    </w:tbl>
    <w:p>
      <w:pPr>
        <w:spacing w:after="0" w:line="250" w:lineRule="exact"/>
        <w:jc w:val="left"/>
        <w:rPr>
          <w:sz w:val="22"/>
        </w:rPr>
        <w:sectPr>
          <w:pgSz w:w="12240" w:h="15840"/>
          <w:pgMar w:header="740" w:footer="1002" w:top="940" w:bottom="1200" w:left="1220" w:right="1440"/>
        </w:sectPr>
      </w:pPr>
    </w:p>
    <w:p>
      <w:pPr>
        <w:pStyle w:val="BodyText"/>
        <w:rPr>
          <w:b/>
          <w:sz w:val="20"/>
        </w:rPr>
      </w:pPr>
    </w:p>
    <w:p>
      <w:pPr>
        <w:pStyle w:val="BodyText"/>
        <w:spacing w:before="7"/>
        <w:rPr>
          <w:b/>
          <w:sz w:val="21"/>
        </w:rPr>
      </w:pPr>
    </w:p>
    <w:p>
      <w:pPr>
        <w:pStyle w:val="BodyText"/>
        <w:spacing w:line="276" w:lineRule="auto"/>
        <w:ind w:left="100" w:right="113"/>
        <w:jc w:val="both"/>
      </w:pPr>
      <w:r>
        <w:rPr/>
        <w:t>The data for the charters listed on a form 990 (Federal non-profit) is given on the next pages. The list is NOT exhaustive as most charters failed to report the salaries of their highest</w:t>
      </w:r>
      <w:r>
        <w:rPr>
          <w:spacing w:val="-15"/>
        </w:rPr>
        <w:t> </w:t>
      </w:r>
      <w:r>
        <w:rPr/>
        <w:t>compensated</w:t>
      </w:r>
      <w:r>
        <w:rPr>
          <w:spacing w:val="-15"/>
        </w:rPr>
        <w:t> </w:t>
      </w:r>
      <w:r>
        <w:rPr/>
        <w:t>individuals.</w:t>
      </w:r>
      <w:r>
        <w:rPr>
          <w:spacing w:val="-18"/>
        </w:rPr>
        <w:t> </w:t>
      </w:r>
      <w:r>
        <w:rPr/>
        <w:t>The</w:t>
      </w:r>
      <w:r>
        <w:rPr>
          <w:spacing w:val="-17"/>
        </w:rPr>
        <w:t> </w:t>
      </w:r>
      <w:r>
        <w:rPr/>
        <w:t>salaries</w:t>
      </w:r>
      <w:r>
        <w:rPr>
          <w:spacing w:val="-16"/>
        </w:rPr>
        <w:t> </w:t>
      </w:r>
      <w:r>
        <w:rPr/>
        <w:t>DO</w:t>
      </w:r>
      <w:r>
        <w:rPr>
          <w:spacing w:val="-16"/>
        </w:rPr>
        <w:t> </w:t>
      </w:r>
      <w:r>
        <w:rPr/>
        <w:t>NOT</w:t>
      </w:r>
      <w:r>
        <w:rPr>
          <w:spacing w:val="-16"/>
        </w:rPr>
        <w:t> </w:t>
      </w:r>
      <w:r>
        <w:rPr/>
        <w:t>include</w:t>
      </w:r>
      <w:r>
        <w:rPr>
          <w:spacing w:val="-17"/>
        </w:rPr>
        <w:t> </w:t>
      </w:r>
      <w:r>
        <w:rPr/>
        <w:t>profits</w:t>
      </w:r>
      <w:r>
        <w:rPr>
          <w:spacing w:val="-15"/>
        </w:rPr>
        <w:t> </w:t>
      </w:r>
      <w:r>
        <w:rPr/>
        <w:t>the</w:t>
      </w:r>
      <w:r>
        <w:rPr>
          <w:spacing w:val="-17"/>
        </w:rPr>
        <w:t> </w:t>
      </w:r>
      <w:r>
        <w:rPr/>
        <w:t>owners</w:t>
      </w:r>
      <w:r>
        <w:rPr>
          <w:spacing w:val="-17"/>
        </w:rPr>
        <w:t> </w:t>
      </w:r>
      <w:r>
        <w:rPr/>
        <w:t>earned from</w:t>
      </w:r>
      <w:r>
        <w:rPr>
          <w:spacing w:val="-8"/>
        </w:rPr>
        <w:t> </w:t>
      </w:r>
      <w:r>
        <w:rPr/>
        <w:t>related-party</w:t>
      </w:r>
      <w:r>
        <w:rPr>
          <w:spacing w:val="-12"/>
        </w:rPr>
        <w:t> </w:t>
      </w:r>
      <w:r>
        <w:rPr/>
        <w:t>sales,</w:t>
      </w:r>
      <w:r>
        <w:rPr>
          <w:spacing w:val="-8"/>
        </w:rPr>
        <w:t> </w:t>
      </w:r>
      <w:r>
        <w:rPr/>
        <w:t>from</w:t>
      </w:r>
      <w:r>
        <w:rPr>
          <w:spacing w:val="-8"/>
        </w:rPr>
        <w:t> </w:t>
      </w:r>
      <w:r>
        <w:rPr/>
        <w:t>leases</w:t>
      </w:r>
      <w:r>
        <w:rPr>
          <w:spacing w:val="-9"/>
        </w:rPr>
        <w:t> </w:t>
      </w:r>
      <w:r>
        <w:rPr/>
        <w:t>with</w:t>
      </w:r>
      <w:r>
        <w:rPr>
          <w:spacing w:val="-8"/>
        </w:rPr>
        <w:t> </w:t>
      </w:r>
      <w:r>
        <w:rPr/>
        <w:t>their</w:t>
      </w:r>
      <w:r>
        <w:rPr>
          <w:spacing w:val="-10"/>
        </w:rPr>
        <w:t> </w:t>
      </w:r>
      <w:r>
        <w:rPr/>
        <w:t>own</w:t>
      </w:r>
      <w:r>
        <w:rPr>
          <w:spacing w:val="-8"/>
        </w:rPr>
        <w:t> </w:t>
      </w:r>
      <w:r>
        <w:rPr/>
        <w:t>company,</w:t>
      </w:r>
      <w:r>
        <w:rPr>
          <w:spacing w:val="-9"/>
        </w:rPr>
        <w:t> </w:t>
      </w:r>
      <w:r>
        <w:rPr/>
        <w:t>sales</w:t>
      </w:r>
      <w:r>
        <w:rPr>
          <w:spacing w:val="-11"/>
        </w:rPr>
        <w:t> </w:t>
      </w:r>
      <w:r>
        <w:rPr/>
        <w:t>of</w:t>
      </w:r>
      <w:r>
        <w:rPr>
          <w:spacing w:val="-7"/>
        </w:rPr>
        <w:t> </w:t>
      </w:r>
      <w:r>
        <w:rPr/>
        <w:t>goods</w:t>
      </w:r>
      <w:r>
        <w:rPr>
          <w:spacing w:val="-9"/>
        </w:rPr>
        <w:t> </w:t>
      </w:r>
      <w:r>
        <w:rPr/>
        <w:t>to</w:t>
      </w:r>
      <w:r>
        <w:rPr>
          <w:spacing w:val="-8"/>
        </w:rPr>
        <w:t> </w:t>
      </w:r>
      <w:r>
        <w:rPr/>
        <w:t>their</w:t>
      </w:r>
      <w:r>
        <w:rPr>
          <w:spacing w:val="-10"/>
        </w:rPr>
        <w:t> </w:t>
      </w:r>
      <w:r>
        <w:rPr/>
        <w:t>own schools, or any other related-party transaction that they benefitted from (see Figure 2 previously).</w:t>
      </w:r>
    </w:p>
    <w:p>
      <w:pPr>
        <w:pStyle w:val="BodyText"/>
        <w:spacing w:line="278" w:lineRule="auto" w:before="201"/>
        <w:ind w:left="100" w:right="121"/>
        <w:jc w:val="both"/>
      </w:pPr>
      <w:r>
        <w:rPr/>
        <w:t>In the table below, excessive salaries are flagged if they meet any of the following conditions.</w:t>
      </w:r>
    </w:p>
    <w:p>
      <w:pPr>
        <w:pStyle w:val="BodyText"/>
        <w:spacing w:before="199"/>
        <w:ind w:left="100"/>
        <w:jc w:val="both"/>
      </w:pPr>
      <w:r>
        <w:rPr/>
        <w:t>For charters with less than 1,500 students:</w:t>
      </w:r>
    </w:p>
    <w:p>
      <w:pPr>
        <w:pStyle w:val="BodyText"/>
        <w:spacing w:before="9"/>
        <w:rPr>
          <w:sz w:val="20"/>
        </w:rPr>
      </w:pPr>
    </w:p>
    <w:p>
      <w:pPr>
        <w:pStyle w:val="BodyText"/>
        <w:ind w:left="100"/>
        <w:jc w:val="both"/>
      </w:pPr>
      <w:r>
        <w:rPr/>
        <w:t>Coded as GREEN if less than $136 per pupil or less than $105,000 with less than</w:t>
      </w:r>
    </w:p>
    <w:p>
      <w:pPr>
        <w:pStyle w:val="BodyText"/>
        <w:spacing w:line="278" w:lineRule="auto" w:before="40"/>
        <w:ind w:left="100" w:right="121"/>
        <w:jc w:val="both"/>
      </w:pPr>
      <w:r>
        <w:rPr/>
        <w:t>$153/pupil and administrative sums less than $250 per pupil for under 600 students and under $220 per pupil for more than 600 students.</w:t>
      </w:r>
    </w:p>
    <w:p>
      <w:pPr>
        <w:pStyle w:val="BodyText"/>
        <w:spacing w:before="197"/>
        <w:ind w:left="100"/>
        <w:jc w:val="both"/>
      </w:pPr>
      <w:r>
        <w:rPr/>
        <w:t>Coded as YELLOW if it exceeded any of the following criteria:</w:t>
      </w:r>
    </w:p>
    <w:p>
      <w:pPr>
        <w:pStyle w:val="BodyText"/>
        <w:spacing w:before="1"/>
        <w:rPr>
          <w:sz w:val="21"/>
        </w:rPr>
      </w:pPr>
    </w:p>
    <w:p>
      <w:pPr>
        <w:pStyle w:val="ListParagraph"/>
        <w:numPr>
          <w:ilvl w:val="0"/>
          <w:numId w:val="11"/>
        </w:numPr>
        <w:tabs>
          <w:tab w:pos="821" w:val="left" w:leader="none"/>
        </w:tabs>
        <w:spacing w:line="240" w:lineRule="auto" w:before="0" w:after="0"/>
        <w:ind w:left="100" w:right="0" w:firstLine="360"/>
        <w:jc w:val="left"/>
        <w:rPr>
          <w:sz w:val="24"/>
        </w:rPr>
      </w:pPr>
      <w:r>
        <w:rPr>
          <w:sz w:val="24"/>
        </w:rPr>
        <w:t>Higher than $105,000 and less than 600 students</w:t>
      </w:r>
      <w:r>
        <w:rPr>
          <w:spacing w:val="-56"/>
          <w:sz w:val="24"/>
        </w:rPr>
        <w:t> </w:t>
      </w:r>
      <w:r>
        <w:rPr>
          <w:sz w:val="24"/>
        </w:rPr>
        <w:t>($175/pupil)</w:t>
      </w:r>
    </w:p>
    <w:p>
      <w:pPr>
        <w:pStyle w:val="ListParagraph"/>
        <w:numPr>
          <w:ilvl w:val="0"/>
          <w:numId w:val="11"/>
        </w:numPr>
        <w:tabs>
          <w:tab w:pos="821" w:val="left" w:leader="none"/>
        </w:tabs>
        <w:spacing w:line="240" w:lineRule="auto" w:before="40" w:after="0"/>
        <w:ind w:left="100" w:right="0" w:firstLine="360"/>
        <w:jc w:val="left"/>
        <w:rPr>
          <w:sz w:val="24"/>
        </w:rPr>
      </w:pPr>
      <w:r>
        <w:rPr>
          <w:sz w:val="24"/>
        </w:rPr>
        <w:t>Higher than $175/pupil if more than 600</w:t>
      </w:r>
      <w:r>
        <w:rPr>
          <w:spacing w:val="-44"/>
          <w:sz w:val="24"/>
        </w:rPr>
        <w:t> </w:t>
      </w:r>
      <w:r>
        <w:rPr>
          <w:sz w:val="24"/>
        </w:rPr>
        <w:t>students</w:t>
      </w:r>
    </w:p>
    <w:p>
      <w:pPr>
        <w:pStyle w:val="ListParagraph"/>
        <w:numPr>
          <w:ilvl w:val="0"/>
          <w:numId w:val="11"/>
        </w:numPr>
        <w:tabs>
          <w:tab w:pos="821" w:val="left" w:leader="none"/>
        </w:tabs>
        <w:spacing w:line="240" w:lineRule="auto" w:before="43" w:after="0"/>
        <w:ind w:left="100" w:right="0" w:firstLine="360"/>
        <w:jc w:val="left"/>
        <w:rPr>
          <w:sz w:val="24"/>
        </w:rPr>
      </w:pPr>
      <w:r>
        <w:rPr>
          <w:sz w:val="24"/>
        </w:rPr>
        <w:t>Administrative sums that exceed $350/student if less than 600</w:t>
      </w:r>
      <w:r>
        <w:rPr>
          <w:spacing w:val="-51"/>
          <w:sz w:val="24"/>
        </w:rPr>
        <w:t> </w:t>
      </w:r>
      <w:r>
        <w:rPr>
          <w:sz w:val="24"/>
        </w:rPr>
        <w:t>students</w:t>
      </w:r>
    </w:p>
    <w:p>
      <w:pPr>
        <w:pStyle w:val="ListParagraph"/>
        <w:numPr>
          <w:ilvl w:val="0"/>
          <w:numId w:val="11"/>
        </w:numPr>
        <w:tabs>
          <w:tab w:pos="821" w:val="left" w:leader="none"/>
        </w:tabs>
        <w:spacing w:line="451" w:lineRule="auto" w:before="41" w:after="0"/>
        <w:ind w:left="100" w:right="1009" w:firstLine="360"/>
        <w:jc w:val="left"/>
        <w:rPr>
          <w:sz w:val="24"/>
        </w:rPr>
      </w:pPr>
      <w:r>
        <w:rPr>
          <w:sz w:val="24"/>
        </w:rPr>
        <w:t>Administrative sum that exceeds $310/student if more than 600</w:t>
      </w:r>
      <w:r>
        <w:rPr>
          <w:spacing w:val="-27"/>
          <w:sz w:val="24"/>
        </w:rPr>
        <w:t> </w:t>
      </w:r>
      <w:r>
        <w:rPr>
          <w:sz w:val="24"/>
        </w:rPr>
        <w:t>students. Coded as RED if it exceeded YELLOW criteria by more than</w:t>
      </w:r>
      <w:r>
        <w:rPr>
          <w:spacing w:val="-45"/>
          <w:sz w:val="24"/>
        </w:rPr>
        <w:t> </w:t>
      </w:r>
      <w:r>
        <w:rPr>
          <w:sz w:val="24"/>
        </w:rPr>
        <w:t>50%.</w:t>
      </w:r>
    </w:p>
    <w:p>
      <w:pPr>
        <w:pStyle w:val="BodyText"/>
        <w:spacing w:line="276" w:lineRule="auto" w:before="11"/>
        <w:ind w:left="100" w:right="111"/>
        <w:jc w:val="both"/>
      </w:pPr>
      <w:r>
        <w:rPr/>
        <w:t>A few of the charters listed have much higher numbers of students, 5,000 or more. If a 10,000-student district paid its superintendent $200,000, it would be expending $20 per student. All large districts in the sample paid below this per student level. So for charters compensation should not exceed $200,000, which is the highest salary in the sample.</w:t>
      </w:r>
    </w:p>
    <w:p>
      <w:pPr>
        <w:pStyle w:val="BodyText"/>
        <w:spacing w:before="200"/>
        <w:ind w:left="100"/>
        <w:jc w:val="both"/>
      </w:pPr>
      <w:r>
        <w:rPr/>
        <w:t>To  receive  a  GREEN  rating  in  these  districts,  the  top  salary  should  be  less than</w:t>
      </w:r>
    </w:p>
    <w:p>
      <w:pPr>
        <w:pStyle w:val="BodyText"/>
        <w:spacing w:before="41"/>
        <w:ind w:left="100"/>
        <w:jc w:val="both"/>
      </w:pPr>
      <w:r>
        <w:rPr/>
        <w:t>$25/student and no higher than $200,000. The administrative sum should not exceed</w:t>
      </w:r>
    </w:p>
    <w:p>
      <w:pPr>
        <w:pStyle w:val="BodyText"/>
        <w:spacing w:line="276" w:lineRule="auto" w:before="41"/>
        <w:ind w:left="100" w:right="116"/>
        <w:jc w:val="both"/>
      </w:pPr>
      <w:r>
        <w:rPr/>
        <w:t>$80/student</w:t>
      </w:r>
      <w:r>
        <w:rPr>
          <w:spacing w:val="-17"/>
        </w:rPr>
        <w:t> </w:t>
      </w:r>
      <w:r>
        <w:rPr/>
        <w:t>(IRS</w:t>
      </w:r>
      <w:r>
        <w:rPr>
          <w:spacing w:val="-14"/>
        </w:rPr>
        <w:t> </w:t>
      </w:r>
      <w:r>
        <w:rPr/>
        <w:t>990s</w:t>
      </w:r>
      <w:r>
        <w:rPr>
          <w:spacing w:val="-17"/>
        </w:rPr>
        <w:t> </w:t>
      </w:r>
      <w:r>
        <w:rPr/>
        <w:t>can</w:t>
      </w:r>
      <w:r>
        <w:rPr>
          <w:spacing w:val="-14"/>
        </w:rPr>
        <w:t> </w:t>
      </w:r>
      <w:r>
        <w:rPr/>
        <w:t>list</w:t>
      </w:r>
      <w:r>
        <w:rPr>
          <w:spacing w:val="-17"/>
        </w:rPr>
        <w:t> </w:t>
      </w:r>
      <w:r>
        <w:rPr/>
        <w:t>up</w:t>
      </w:r>
      <w:r>
        <w:rPr>
          <w:spacing w:val="-17"/>
        </w:rPr>
        <w:t> </w:t>
      </w:r>
      <w:r>
        <w:rPr/>
        <w:t>to</w:t>
      </w:r>
      <w:r>
        <w:rPr>
          <w:spacing w:val="-16"/>
        </w:rPr>
        <w:t> </w:t>
      </w:r>
      <w:r>
        <w:rPr/>
        <w:t>five</w:t>
      </w:r>
      <w:r>
        <w:rPr>
          <w:spacing w:val="-14"/>
        </w:rPr>
        <w:t> </w:t>
      </w:r>
      <w:r>
        <w:rPr/>
        <w:t>highest</w:t>
      </w:r>
      <w:r>
        <w:rPr>
          <w:spacing w:val="-14"/>
        </w:rPr>
        <w:t> </w:t>
      </w:r>
      <w:r>
        <w:rPr/>
        <w:t>paid</w:t>
      </w:r>
      <w:r>
        <w:rPr>
          <w:spacing w:val="-17"/>
        </w:rPr>
        <w:t> </w:t>
      </w:r>
      <w:r>
        <w:rPr/>
        <w:t>employees).</w:t>
      </w:r>
      <w:r>
        <w:rPr>
          <w:spacing w:val="-15"/>
        </w:rPr>
        <w:t> </w:t>
      </w:r>
      <w:r>
        <w:rPr/>
        <w:t>YELLOW</w:t>
      </w:r>
      <w:r>
        <w:rPr>
          <w:spacing w:val="-9"/>
        </w:rPr>
        <w:t> </w:t>
      </w:r>
      <w:r>
        <w:rPr/>
        <w:t>ratings</w:t>
      </w:r>
      <w:r>
        <w:rPr>
          <w:spacing w:val="-15"/>
        </w:rPr>
        <w:t> </w:t>
      </w:r>
      <w:r>
        <w:rPr/>
        <w:t>would exceed</w:t>
      </w:r>
      <w:r>
        <w:rPr>
          <w:spacing w:val="-14"/>
        </w:rPr>
        <w:t> </w:t>
      </w:r>
      <w:r>
        <w:rPr/>
        <w:t>$30/student</w:t>
      </w:r>
      <w:r>
        <w:rPr>
          <w:spacing w:val="-14"/>
        </w:rPr>
        <w:t> </w:t>
      </w:r>
      <w:r>
        <w:rPr/>
        <w:t>and</w:t>
      </w:r>
      <w:r>
        <w:rPr>
          <w:spacing w:val="-12"/>
        </w:rPr>
        <w:t> </w:t>
      </w:r>
      <w:r>
        <w:rPr/>
        <w:t>$100/student,</w:t>
      </w:r>
      <w:r>
        <w:rPr>
          <w:spacing w:val="-14"/>
        </w:rPr>
        <w:t> </w:t>
      </w:r>
      <w:r>
        <w:rPr/>
        <w:t>respectively,</w:t>
      </w:r>
      <w:r>
        <w:rPr>
          <w:spacing w:val="-14"/>
        </w:rPr>
        <w:t> </w:t>
      </w:r>
      <w:r>
        <w:rPr/>
        <w:t>and</w:t>
      </w:r>
      <w:r>
        <w:rPr>
          <w:spacing w:val="-14"/>
        </w:rPr>
        <w:t> </w:t>
      </w:r>
      <w:r>
        <w:rPr/>
        <w:t>RED</w:t>
      </w:r>
      <w:r>
        <w:rPr>
          <w:spacing w:val="-15"/>
        </w:rPr>
        <w:t> </w:t>
      </w:r>
      <w:r>
        <w:rPr/>
        <w:t>ratings</w:t>
      </w:r>
      <w:r>
        <w:rPr>
          <w:spacing w:val="-15"/>
        </w:rPr>
        <w:t> </w:t>
      </w:r>
      <w:r>
        <w:rPr/>
        <w:t>would</w:t>
      </w:r>
      <w:r>
        <w:rPr>
          <w:spacing w:val="-14"/>
        </w:rPr>
        <w:t> </w:t>
      </w:r>
      <w:r>
        <w:rPr/>
        <w:t>be</w:t>
      </w:r>
      <w:r>
        <w:rPr>
          <w:spacing w:val="-14"/>
        </w:rPr>
        <w:t> </w:t>
      </w:r>
      <w:r>
        <w:rPr/>
        <w:t>more</w:t>
      </w:r>
      <w:r>
        <w:rPr>
          <w:spacing w:val="-15"/>
        </w:rPr>
        <w:t> </w:t>
      </w:r>
      <w:r>
        <w:rPr/>
        <w:t>than 50% above</w:t>
      </w:r>
      <w:r>
        <w:rPr>
          <w:spacing w:val="-5"/>
        </w:rPr>
        <w:t> </w:t>
      </w:r>
      <w:r>
        <w:rPr/>
        <w:t>this.</w:t>
      </w:r>
    </w:p>
    <w:p>
      <w:pPr>
        <w:pStyle w:val="BodyText"/>
        <w:spacing w:line="276" w:lineRule="auto" w:before="199"/>
        <w:ind w:left="100" w:right="115"/>
        <w:jc w:val="both"/>
      </w:pPr>
      <w:r>
        <w:rPr/>
        <w:t>Table entries that appear as WHITE fall above the GREEN criteria, but below the YELLOW criteria. Or they are multi-state charter operations, so the Arizona ADM is insufficient to calculate the cost per pupil, in which case it’s noted as “not calculated.”</w:t>
      </w:r>
    </w:p>
    <w:p>
      <w:pPr>
        <w:pStyle w:val="BodyText"/>
        <w:spacing w:line="276" w:lineRule="auto" w:before="199"/>
        <w:ind w:left="100" w:right="120"/>
        <w:jc w:val="both"/>
      </w:pPr>
      <w:r>
        <w:rPr/>
        <w:t>As one peruses the table that follows, the dominant shading is RED, indicating the excessive compensation for those charters reporting salary information on their 990s is the norm. RP indicates “Related Party.”</w:t>
      </w:r>
    </w:p>
    <w:p>
      <w:pPr>
        <w:spacing w:after="0" w:line="276" w:lineRule="auto"/>
        <w:jc w:val="both"/>
        <w:sectPr>
          <w:pgSz w:w="12240" w:h="15840"/>
          <w:pgMar w:header="740" w:footer="1002" w:top="940" w:bottom="1200" w:left="1340" w:right="1320"/>
        </w:sectPr>
      </w:pPr>
    </w:p>
    <w:p>
      <w:pPr>
        <w:pStyle w:val="BodyText"/>
        <w:rPr>
          <w:sz w:val="20"/>
        </w:rPr>
      </w:pPr>
    </w:p>
    <w:p>
      <w:pPr>
        <w:pStyle w:val="BodyText"/>
        <w:spacing w:before="2"/>
        <w:rPr>
          <w:sz w:val="21"/>
        </w:rPr>
      </w:pPr>
    </w:p>
    <w:p>
      <w:pPr>
        <w:spacing w:before="0" w:after="49"/>
        <w:ind w:left="140" w:right="0" w:firstLine="0"/>
        <w:jc w:val="left"/>
        <w:rPr>
          <w:b/>
          <w:sz w:val="22"/>
        </w:rPr>
      </w:pPr>
      <w:bookmarkStart w:name="_bookmark46" w:id="47"/>
      <w:bookmarkEnd w:id="47"/>
      <w:r>
        <w:rPr/>
      </w:r>
      <w:r>
        <w:rPr>
          <w:b/>
          <w:color w:val="4F81BC"/>
          <w:sz w:val="22"/>
        </w:rPr>
        <w:t>Table 4: Owner and Administrator Salary in Nonprofit Charters that Reported on IRS 990s</w:t>
      </w: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1"/>
              <w:ind w:left="954"/>
              <w:jc w:val="left"/>
              <w:rPr>
                <w:b/>
                <w:sz w:val="20"/>
              </w:rPr>
            </w:pPr>
            <w:r>
              <w:rPr>
                <w:b/>
                <w:sz w:val="20"/>
              </w:rPr>
              <w:t>Name and Title</w:t>
            </w:r>
          </w:p>
        </w:tc>
        <w:tc>
          <w:tcPr>
            <w:tcW w:w="1891" w:type="dxa"/>
            <w:tcBorders>
              <w:bottom w:val="nil"/>
            </w:tcBorders>
            <w:shd w:val="clear" w:color="auto" w:fill="D99493"/>
          </w:tcPr>
          <w:p>
            <w:pPr>
              <w:pStyle w:val="TableParagraph"/>
              <w:spacing w:before="23"/>
              <w:ind w:left="148" w:right="158"/>
              <w:rPr>
                <w:b/>
                <w:sz w:val="20"/>
              </w:rPr>
            </w:pPr>
            <w:r>
              <w:rPr>
                <w:b/>
                <w:sz w:val="20"/>
              </w:rPr>
              <w:t>Salary 990</w:t>
            </w:r>
          </w:p>
        </w:tc>
        <w:tc>
          <w:tcPr>
            <w:tcW w:w="1260" w:type="dxa"/>
            <w:vMerge w:val="restart"/>
            <w:shd w:val="clear" w:color="auto" w:fill="D99493"/>
          </w:tcPr>
          <w:p>
            <w:pPr>
              <w:pStyle w:val="TableParagraph"/>
              <w:spacing w:before="76"/>
              <w:ind w:left="477" w:right="294" w:hanging="173"/>
              <w:jc w:val="left"/>
              <w:rPr>
                <w:b/>
                <w:sz w:val="20"/>
              </w:rPr>
            </w:pPr>
            <w:r>
              <w:rPr>
                <w:b/>
                <w:sz w:val="20"/>
              </w:rPr>
              <w:t># ADM RP</w:t>
            </w:r>
          </w:p>
        </w:tc>
        <w:tc>
          <w:tcPr>
            <w:tcW w:w="1620" w:type="dxa"/>
            <w:vMerge w:val="restart"/>
            <w:shd w:val="clear" w:color="auto" w:fill="D99493"/>
          </w:tcPr>
          <w:p>
            <w:pPr>
              <w:pStyle w:val="TableParagraph"/>
              <w:spacing w:before="191"/>
              <w:ind w:left="119"/>
              <w:jc w:val="left"/>
              <w:rPr>
                <w:b/>
                <w:sz w:val="20"/>
              </w:rPr>
            </w:pPr>
            <w:r>
              <w:rPr>
                <w:b/>
                <w:sz w:val="20"/>
                <w:u w:val="thick"/>
              </w:rPr>
              <w:t>Cost per Pupil</w:t>
            </w:r>
          </w:p>
        </w:tc>
        <w:tc>
          <w:tcPr>
            <w:tcW w:w="1261" w:type="dxa"/>
            <w:vMerge w:val="restart"/>
            <w:shd w:val="clear" w:color="auto" w:fill="D99493"/>
          </w:tcPr>
          <w:p>
            <w:pPr>
              <w:pStyle w:val="TableParagraph"/>
              <w:spacing w:before="191"/>
              <w:ind w:left="295"/>
              <w:jc w:val="left"/>
              <w:rPr>
                <w:b/>
                <w:sz w:val="20"/>
              </w:rPr>
            </w:pPr>
            <w:r>
              <w:rPr>
                <w:b/>
                <w:sz w:val="20"/>
              </w:rPr>
              <w:t># Sites</w:t>
            </w:r>
          </w:p>
        </w:tc>
      </w:tr>
      <w:tr>
        <w:trPr>
          <w:trHeight w:val="30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4"/>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420" w:hRule="atLeast"/>
        </w:trPr>
        <w:tc>
          <w:tcPr>
            <w:tcW w:w="3358" w:type="dxa"/>
            <w:shd w:val="clear" w:color="auto" w:fill="C0C0C0"/>
          </w:tcPr>
          <w:p>
            <w:pPr>
              <w:pStyle w:val="TableParagraph"/>
              <w:spacing w:line="212" w:lineRule="exact" w:before="11"/>
              <w:ind w:left="1060" w:right="246" w:hanging="800"/>
              <w:jc w:val="left"/>
              <w:rPr>
                <w:b/>
                <w:sz w:val="20"/>
              </w:rPr>
            </w:pPr>
            <w:r>
              <w:rPr>
                <w:b/>
                <w:sz w:val="20"/>
              </w:rPr>
              <w:t>Academy of Mathematics and Science,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06"/>
              <w:ind w:left="399" w:right="403"/>
              <w:rPr>
                <w:b/>
                <w:sz w:val="20"/>
              </w:rPr>
            </w:pPr>
            <w:r>
              <w:rPr>
                <w:b/>
                <w:sz w:val="20"/>
              </w:rPr>
              <w:t>966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06"/>
              <w:ind w:right="7"/>
              <w:rPr>
                <w:b/>
                <w:sz w:val="20"/>
              </w:rPr>
            </w:pPr>
            <w:r>
              <w:rPr>
                <w:b/>
                <w:w w:val="97"/>
                <w:sz w:val="20"/>
              </w:rPr>
              <w:t>3</w:t>
            </w:r>
          </w:p>
        </w:tc>
      </w:tr>
      <w:tr>
        <w:trPr>
          <w:trHeight w:val="475" w:hRule="atLeast"/>
        </w:trPr>
        <w:tc>
          <w:tcPr>
            <w:tcW w:w="3358" w:type="dxa"/>
          </w:tcPr>
          <w:p>
            <w:pPr>
              <w:pStyle w:val="TableParagraph"/>
              <w:spacing w:line="230" w:lineRule="atLeast" w:before="1"/>
              <w:ind w:left="786" w:right="775" w:firstLine="91"/>
              <w:jc w:val="left"/>
              <w:rPr>
                <w:b/>
                <w:sz w:val="20"/>
              </w:rPr>
            </w:pPr>
            <w:r>
              <w:rPr>
                <w:b/>
                <w:sz w:val="20"/>
              </w:rPr>
              <w:t>Tatyana Chayka, Executive Director</w:t>
            </w:r>
          </w:p>
        </w:tc>
        <w:tc>
          <w:tcPr>
            <w:tcW w:w="1891" w:type="dxa"/>
            <w:shd w:val="clear" w:color="auto" w:fill="92D050"/>
          </w:tcPr>
          <w:p>
            <w:pPr>
              <w:pStyle w:val="TableParagraph"/>
              <w:spacing w:before="114"/>
              <w:ind w:left="148" w:right="158"/>
              <w:rPr>
                <w:b/>
                <w:sz w:val="20"/>
              </w:rPr>
            </w:pPr>
            <w:r>
              <w:rPr>
                <w:b/>
                <w:sz w:val="20"/>
              </w:rPr>
              <w:t>$121,359</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14"/>
              <w:ind w:left="16" w:right="83"/>
              <w:rPr>
                <w:b/>
                <w:sz w:val="20"/>
              </w:rPr>
            </w:pPr>
            <w:r>
              <w:rPr>
                <w:b/>
                <w:sz w:val="20"/>
              </w:rPr>
              <w:t>$126</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688"/>
              <w:jc w:val="left"/>
              <w:rPr>
                <w:b/>
                <w:sz w:val="20"/>
              </w:rPr>
            </w:pPr>
            <w:r>
              <w:rPr>
                <w:b/>
                <w:sz w:val="20"/>
              </w:rPr>
              <w:t>Academy of Tucson</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99" w:right="358"/>
              <w:rPr>
                <w:b/>
                <w:sz w:val="20"/>
              </w:rPr>
            </w:pPr>
            <w:r>
              <w:rPr>
                <w:b/>
                <w:sz w:val="20"/>
              </w:rPr>
              <w:t>666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3</w:t>
            </w:r>
          </w:p>
        </w:tc>
      </w:tr>
      <w:tr>
        <w:trPr>
          <w:trHeight w:val="700" w:hRule="atLeast"/>
        </w:trPr>
        <w:tc>
          <w:tcPr>
            <w:tcW w:w="3358" w:type="dxa"/>
          </w:tcPr>
          <w:p>
            <w:pPr>
              <w:pStyle w:val="TableParagraph"/>
              <w:spacing w:line="229" w:lineRule="exact" w:before="6"/>
              <w:ind w:left="107" w:right="114"/>
              <w:rPr>
                <w:b/>
                <w:sz w:val="20"/>
              </w:rPr>
            </w:pPr>
            <w:r>
              <w:rPr>
                <w:b/>
                <w:sz w:val="20"/>
              </w:rPr>
              <w:t>Howard C Stewart.</w:t>
            </w:r>
          </w:p>
          <w:p>
            <w:pPr>
              <w:pStyle w:val="TableParagraph"/>
              <w:spacing w:line="230" w:lineRule="exact" w:before="2"/>
              <w:ind w:left="107" w:right="114"/>
              <w:rPr>
                <w:b/>
                <w:sz w:val="20"/>
              </w:rPr>
            </w:pPr>
            <w:r>
              <w:rPr>
                <w:b/>
                <w:sz w:val="20"/>
              </w:rPr>
              <w:t>Superintendent and Board Member</w:t>
            </w:r>
          </w:p>
        </w:tc>
        <w:tc>
          <w:tcPr>
            <w:tcW w:w="1891" w:type="dxa"/>
            <w:shd w:val="clear" w:color="auto" w:fill="FFFF00"/>
          </w:tcPr>
          <w:p>
            <w:pPr>
              <w:pStyle w:val="TableParagraph"/>
              <w:spacing w:before="4"/>
              <w:jc w:val="left"/>
              <w:rPr>
                <w:b/>
                <w:sz w:val="20"/>
              </w:rPr>
            </w:pPr>
          </w:p>
          <w:p>
            <w:pPr>
              <w:pStyle w:val="TableParagraph"/>
              <w:ind w:left="148" w:right="158"/>
              <w:rPr>
                <w:b/>
                <w:sz w:val="20"/>
              </w:rPr>
            </w:pPr>
            <w:r>
              <w:rPr>
                <w:b/>
                <w:sz w:val="20"/>
              </w:rPr>
              <w:t>$124,359</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4"/>
              <w:jc w:val="left"/>
              <w:rPr>
                <w:b/>
                <w:sz w:val="20"/>
              </w:rPr>
            </w:pPr>
          </w:p>
          <w:p>
            <w:pPr>
              <w:pStyle w:val="TableParagraph"/>
              <w:ind w:left="75" w:right="80"/>
              <w:rPr>
                <w:b/>
                <w:sz w:val="20"/>
              </w:rPr>
            </w:pPr>
            <w:r>
              <w:rPr>
                <w:b/>
                <w:sz w:val="20"/>
              </w:rPr>
              <w:t>$187</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16" w:lineRule="exact" w:before="9"/>
              <w:ind w:left="659" w:right="389" w:firstLine="144"/>
              <w:jc w:val="left"/>
              <w:rPr>
                <w:b/>
                <w:sz w:val="20"/>
              </w:rPr>
            </w:pPr>
            <w:r>
              <w:rPr>
                <w:b/>
                <w:sz w:val="20"/>
              </w:rPr>
              <w:t>Sharon K Stewart, Asst. Superintendent</w:t>
            </w:r>
          </w:p>
        </w:tc>
        <w:tc>
          <w:tcPr>
            <w:tcW w:w="1891" w:type="dxa"/>
            <w:shd w:val="clear" w:color="auto" w:fill="FFFF00"/>
          </w:tcPr>
          <w:p>
            <w:pPr>
              <w:pStyle w:val="TableParagraph"/>
              <w:spacing w:before="107"/>
              <w:ind w:left="148" w:right="158"/>
              <w:rPr>
                <w:b/>
                <w:sz w:val="20"/>
              </w:rPr>
            </w:pPr>
            <w:r>
              <w:rPr>
                <w:b/>
                <w:sz w:val="20"/>
              </w:rPr>
              <w:t>$124,346</w:t>
            </w:r>
          </w:p>
        </w:tc>
        <w:tc>
          <w:tcPr>
            <w:tcW w:w="1260" w:type="dxa"/>
            <w:shd w:val="clear" w:color="auto" w:fill="FFFF00"/>
          </w:tcPr>
          <w:p>
            <w:pPr>
              <w:pStyle w:val="TableParagraph"/>
              <w:spacing w:before="107"/>
              <w:ind w:left="399" w:right="405"/>
              <w:rPr>
                <w:b/>
                <w:sz w:val="20"/>
              </w:rPr>
            </w:pPr>
            <w:r>
              <w:rPr>
                <w:b/>
                <w:sz w:val="20"/>
              </w:rPr>
              <w:t>RP</w:t>
            </w:r>
          </w:p>
        </w:tc>
        <w:tc>
          <w:tcPr>
            <w:tcW w:w="1620" w:type="dxa"/>
            <w:shd w:val="clear" w:color="auto" w:fill="FFFF00"/>
          </w:tcPr>
          <w:p>
            <w:pPr>
              <w:pStyle w:val="TableParagraph"/>
              <w:spacing w:before="107"/>
              <w:ind w:left="75" w:right="80"/>
              <w:rPr>
                <w:b/>
                <w:sz w:val="20"/>
              </w:rPr>
            </w:pPr>
            <w:r>
              <w:rPr>
                <w:b/>
                <w:sz w:val="20"/>
              </w:rPr>
              <w:t>$187</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14"/>
              <w:jc w:val="left"/>
              <w:rPr>
                <w:b/>
                <w:sz w:val="20"/>
              </w:rPr>
            </w:pPr>
            <w:r>
              <w:rPr>
                <w:b/>
                <w:sz w:val="20"/>
              </w:rPr>
              <w:t>Administration Sum</w:t>
            </w:r>
          </w:p>
        </w:tc>
        <w:tc>
          <w:tcPr>
            <w:tcW w:w="1891" w:type="dxa"/>
            <w:shd w:val="clear" w:color="auto" w:fill="FFFF00"/>
          </w:tcPr>
          <w:p>
            <w:pPr>
              <w:pStyle w:val="TableParagraph"/>
              <w:spacing w:before="35"/>
              <w:ind w:left="148" w:right="158"/>
              <w:rPr>
                <w:b/>
                <w:sz w:val="20"/>
              </w:rPr>
            </w:pPr>
            <w:r>
              <w:rPr>
                <w:b/>
                <w:sz w:val="20"/>
              </w:rPr>
              <w:t>$248,705</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35"/>
              <w:ind w:left="75" w:right="30"/>
              <w:rPr>
                <w:b/>
                <w:sz w:val="20"/>
              </w:rPr>
            </w:pPr>
            <w:r>
              <w:rPr>
                <w:b/>
                <w:sz w:val="20"/>
              </w:rPr>
              <w:t>$373</w:t>
            </w:r>
          </w:p>
        </w:tc>
        <w:tc>
          <w:tcPr>
            <w:tcW w:w="1261" w:type="dxa"/>
          </w:tcPr>
          <w:p>
            <w:pPr>
              <w:pStyle w:val="TableParagraph"/>
              <w:jc w:val="left"/>
              <w:rPr>
                <w:rFonts w:ascii="Times New Roman"/>
                <w:sz w:val="18"/>
              </w:rPr>
            </w:pPr>
          </w:p>
        </w:tc>
      </w:tr>
      <w:tr>
        <w:trPr>
          <w:trHeight w:val="420" w:hRule="atLeast"/>
        </w:trPr>
        <w:tc>
          <w:tcPr>
            <w:tcW w:w="3358" w:type="dxa"/>
            <w:shd w:val="clear" w:color="auto" w:fill="C0C0C0"/>
          </w:tcPr>
          <w:p>
            <w:pPr>
              <w:pStyle w:val="TableParagraph"/>
              <w:spacing w:line="199" w:lineRule="exact"/>
              <w:ind w:left="107" w:right="114"/>
              <w:rPr>
                <w:b/>
                <w:sz w:val="20"/>
              </w:rPr>
            </w:pPr>
            <w:r>
              <w:rPr>
                <w:b/>
                <w:sz w:val="20"/>
              </w:rPr>
              <w:t>Acorn Montessori Charter</w:t>
            </w:r>
          </w:p>
          <w:p>
            <w:pPr>
              <w:pStyle w:val="TableParagraph"/>
              <w:spacing w:line="202" w:lineRule="exact"/>
              <w:ind w:left="106" w:right="114"/>
              <w:rPr>
                <w:b/>
                <w:sz w:val="20"/>
              </w:rPr>
            </w:pPr>
            <w:r>
              <w:rPr>
                <w:b/>
                <w:sz w:val="20"/>
              </w:rPr>
              <w:t>School,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left="399" w:right="358"/>
              <w:rPr>
                <w:b/>
                <w:sz w:val="20"/>
              </w:rPr>
            </w:pPr>
            <w:r>
              <w:rPr>
                <w:b/>
                <w:sz w:val="20"/>
              </w:rPr>
              <w:t>374</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right="64"/>
              <w:rPr>
                <w:b/>
                <w:sz w:val="20"/>
              </w:rPr>
            </w:pPr>
            <w:r>
              <w:rPr>
                <w:b/>
                <w:w w:val="97"/>
                <w:sz w:val="20"/>
              </w:rPr>
              <w:t>1</w:t>
            </w:r>
          </w:p>
        </w:tc>
      </w:tr>
      <w:tr>
        <w:trPr>
          <w:trHeight w:val="460" w:hRule="atLeast"/>
        </w:trPr>
        <w:tc>
          <w:tcPr>
            <w:tcW w:w="3358" w:type="dxa"/>
          </w:tcPr>
          <w:p>
            <w:pPr>
              <w:pStyle w:val="TableParagraph"/>
              <w:spacing w:line="230" w:lineRule="atLeast" w:before="6"/>
              <w:ind w:left="973" w:right="775" w:hanging="149"/>
              <w:jc w:val="left"/>
              <w:rPr>
                <w:b/>
                <w:sz w:val="20"/>
              </w:rPr>
            </w:pPr>
            <w:r>
              <w:rPr>
                <w:b/>
                <w:sz w:val="20"/>
              </w:rPr>
              <w:t>Cynthia Johnson, Vice President</w:t>
            </w:r>
          </w:p>
        </w:tc>
        <w:tc>
          <w:tcPr>
            <w:tcW w:w="1891" w:type="dxa"/>
            <w:shd w:val="clear" w:color="auto" w:fill="FF0000"/>
          </w:tcPr>
          <w:p>
            <w:pPr>
              <w:pStyle w:val="TableParagraph"/>
              <w:spacing w:before="119"/>
              <w:ind w:left="148" w:right="158"/>
              <w:rPr>
                <w:b/>
                <w:sz w:val="20"/>
              </w:rPr>
            </w:pPr>
            <w:r>
              <w:rPr>
                <w:b/>
                <w:sz w:val="20"/>
              </w:rPr>
              <w:t>$216,661</w:t>
            </w:r>
          </w:p>
        </w:tc>
        <w:tc>
          <w:tcPr>
            <w:tcW w:w="1260" w:type="dxa"/>
            <w:shd w:val="clear" w:color="auto" w:fill="FF0000"/>
          </w:tcPr>
          <w:p>
            <w:pPr>
              <w:pStyle w:val="TableParagraph"/>
              <w:spacing w:before="119"/>
              <w:ind w:left="399" w:right="405"/>
              <w:rPr>
                <w:b/>
                <w:sz w:val="20"/>
              </w:rPr>
            </w:pPr>
            <w:r>
              <w:rPr>
                <w:b/>
                <w:sz w:val="20"/>
              </w:rPr>
              <w:t>RP</w:t>
            </w:r>
          </w:p>
        </w:tc>
        <w:tc>
          <w:tcPr>
            <w:tcW w:w="1620" w:type="dxa"/>
            <w:shd w:val="clear" w:color="auto" w:fill="FF0000"/>
          </w:tcPr>
          <w:p>
            <w:pPr>
              <w:pStyle w:val="TableParagraph"/>
              <w:spacing w:before="119"/>
              <w:ind w:left="75" w:right="80"/>
              <w:rPr>
                <w:b/>
                <w:sz w:val="20"/>
              </w:rPr>
            </w:pPr>
            <w:r>
              <w:rPr>
                <w:b/>
                <w:sz w:val="20"/>
              </w:rPr>
              <w:t>$579</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530"/>
              <w:jc w:val="left"/>
              <w:rPr>
                <w:b/>
                <w:sz w:val="20"/>
              </w:rPr>
            </w:pPr>
            <w:r>
              <w:rPr>
                <w:b/>
                <w:sz w:val="20"/>
              </w:rPr>
              <w:t>Keith Johnson, Member</w:t>
            </w:r>
          </w:p>
        </w:tc>
        <w:tc>
          <w:tcPr>
            <w:tcW w:w="1891" w:type="dxa"/>
            <w:shd w:val="clear" w:color="auto" w:fill="FF0000"/>
          </w:tcPr>
          <w:p>
            <w:pPr>
              <w:pStyle w:val="TableParagraph"/>
              <w:spacing w:before="33"/>
              <w:ind w:left="148" w:right="158"/>
              <w:rPr>
                <w:b/>
                <w:sz w:val="20"/>
              </w:rPr>
            </w:pPr>
            <w:r>
              <w:rPr>
                <w:b/>
                <w:sz w:val="20"/>
              </w:rPr>
              <w:t>$100,225</w:t>
            </w:r>
          </w:p>
        </w:tc>
        <w:tc>
          <w:tcPr>
            <w:tcW w:w="1260" w:type="dxa"/>
            <w:shd w:val="clear" w:color="auto" w:fill="FF0000"/>
          </w:tcPr>
          <w:p>
            <w:pPr>
              <w:pStyle w:val="TableParagraph"/>
              <w:spacing w:before="33"/>
              <w:ind w:left="399" w:right="355"/>
              <w:rPr>
                <w:b/>
                <w:sz w:val="20"/>
              </w:rPr>
            </w:pPr>
            <w:r>
              <w:rPr>
                <w:b/>
                <w:sz w:val="20"/>
              </w:rPr>
              <w:t>RP</w:t>
            </w:r>
          </w:p>
        </w:tc>
        <w:tc>
          <w:tcPr>
            <w:tcW w:w="1620" w:type="dxa"/>
            <w:shd w:val="clear" w:color="auto" w:fill="FF0000"/>
          </w:tcPr>
          <w:p>
            <w:pPr>
              <w:pStyle w:val="TableParagraph"/>
              <w:spacing w:before="33"/>
              <w:ind w:left="75" w:right="80"/>
              <w:rPr>
                <w:b/>
                <w:sz w:val="20"/>
              </w:rPr>
            </w:pPr>
            <w:r>
              <w:rPr>
                <w:b/>
                <w:sz w:val="20"/>
              </w:rPr>
              <w:t>$268</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$316,886</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16" w:right="83"/>
              <w:rPr>
                <w:b/>
                <w:sz w:val="20"/>
              </w:rPr>
            </w:pPr>
            <w:r>
              <w:rPr>
                <w:b/>
                <w:sz w:val="20"/>
              </w:rPr>
              <w:t>$847</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503"/>
              <w:jc w:val="left"/>
              <w:rPr>
                <w:b/>
                <w:sz w:val="20"/>
              </w:rPr>
            </w:pPr>
            <w:r>
              <w:rPr>
                <w:b/>
                <w:sz w:val="20"/>
              </w:rPr>
              <w:t>Benchmark School,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left="399" w:right="358"/>
              <w:rPr>
                <w:b/>
                <w:sz w:val="20"/>
              </w:rPr>
            </w:pPr>
            <w:r>
              <w:rPr>
                <w:b/>
                <w:sz w:val="20"/>
              </w:rPr>
              <w:t>383</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left="43"/>
              <w:rPr>
                <w:b/>
                <w:sz w:val="20"/>
              </w:rPr>
            </w:pPr>
            <w:r>
              <w:rPr>
                <w:b/>
                <w:w w:val="97"/>
                <w:sz w:val="20"/>
              </w:rPr>
              <w:t>1</w:t>
            </w:r>
          </w:p>
        </w:tc>
      </w:tr>
      <w:tr>
        <w:trPr>
          <w:trHeight w:val="300" w:hRule="atLeast"/>
        </w:trPr>
        <w:tc>
          <w:tcPr>
            <w:tcW w:w="3358" w:type="dxa"/>
          </w:tcPr>
          <w:p>
            <w:pPr>
              <w:pStyle w:val="TableParagraph"/>
              <w:spacing w:before="47"/>
              <w:ind w:left="354"/>
              <w:jc w:val="left"/>
              <w:rPr>
                <w:b/>
                <w:sz w:val="20"/>
              </w:rPr>
            </w:pPr>
            <w:r>
              <w:rPr>
                <w:b/>
                <w:sz w:val="20"/>
              </w:rPr>
              <w:t>Carole Challoner, Secretary</w:t>
            </w:r>
          </w:p>
        </w:tc>
        <w:tc>
          <w:tcPr>
            <w:tcW w:w="1891" w:type="dxa"/>
            <w:shd w:val="clear" w:color="auto" w:fill="FF0000"/>
          </w:tcPr>
          <w:p>
            <w:pPr>
              <w:pStyle w:val="TableParagraph"/>
              <w:spacing w:before="47"/>
              <w:ind w:left="148" w:right="158"/>
              <w:rPr>
                <w:b/>
                <w:sz w:val="20"/>
              </w:rPr>
            </w:pPr>
            <w:r>
              <w:rPr>
                <w:b/>
                <w:sz w:val="20"/>
              </w:rPr>
              <w:t>$116,614</w:t>
            </w:r>
          </w:p>
        </w:tc>
        <w:tc>
          <w:tcPr>
            <w:tcW w:w="1260" w:type="dxa"/>
            <w:shd w:val="clear" w:color="auto" w:fill="FF0000"/>
          </w:tcPr>
          <w:p>
            <w:pPr>
              <w:pStyle w:val="TableParagraph"/>
              <w:spacing w:before="47"/>
              <w:ind w:left="399" w:right="355"/>
              <w:rPr>
                <w:b/>
                <w:sz w:val="20"/>
              </w:rPr>
            </w:pPr>
            <w:r>
              <w:rPr>
                <w:b/>
                <w:sz w:val="20"/>
              </w:rPr>
              <w:t>RP</w:t>
            </w:r>
          </w:p>
        </w:tc>
        <w:tc>
          <w:tcPr>
            <w:tcW w:w="1620" w:type="dxa"/>
            <w:shd w:val="clear" w:color="auto" w:fill="FF0000"/>
          </w:tcPr>
          <w:p>
            <w:pPr>
              <w:pStyle w:val="TableParagraph"/>
              <w:spacing w:before="47"/>
              <w:ind w:left="75" w:right="80"/>
              <w:rPr>
                <w:b/>
                <w:sz w:val="20"/>
              </w:rPr>
            </w:pPr>
            <w:r>
              <w:rPr>
                <w:b/>
                <w:sz w:val="20"/>
              </w:rPr>
              <w:t>$304</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0"/>
              <w:ind w:left="350"/>
              <w:jc w:val="left"/>
              <w:rPr>
                <w:b/>
                <w:sz w:val="20"/>
              </w:rPr>
            </w:pPr>
            <w:r>
              <w:rPr>
                <w:b/>
                <w:sz w:val="20"/>
              </w:rPr>
              <w:t>Whitney Challoner, Director</w:t>
            </w:r>
          </w:p>
        </w:tc>
        <w:tc>
          <w:tcPr>
            <w:tcW w:w="1891" w:type="dxa"/>
            <w:shd w:val="clear" w:color="auto" w:fill="FF0000"/>
          </w:tcPr>
          <w:p>
            <w:pPr>
              <w:pStyle w:val="TableParagraph"/>
              <w:spacing w:before="30"/>
              <w:ind w:left="150" w:right="157"/>
              <w:rPr>
                <w:b/>
                <w:sz w:val="20"/>
              </w:rPr>
            </w:pPr>
            <w:r>
              <w:rPr>
                <w:b/>
                <w:sz w:val="20"/>
              </w:rPr>
              <w:t>$78,500</w:t>
            </w:r>
          </w:p>
        </w:tc>
        <w:tc>
          <w:tcPr>
            <w:tcW w:w="1260" w:type="dxa"/>
            <w:shd w:val="clear" w:color="auto" w:fill="FF0000"/>
          </w:tcPr>
          <w:p>
            <w:pPr>
              <w:pStyle w:val="TableParagraph"/>
              <w:spacing w:before="30"/>
              <w:ind w:left="399" w:right="355"/>
              <w:rPr>
                <w:b/>
                <w:sz w:val="20"/>
              </w:rPr>
            </w:pPr>
            <w:r>
              <w:rPr>
                <w:b/>
                <w:sz w:val="20"/>
              </w:rPr>
              <w:t>RP</w:t>
            </w:r>
          </w:p>
        </w:tc>
        <w:tc>
          <w:tcPr>
            <w:tcW w:w="1620" w:type="dxa"/>
            <w:shd w:val="clear" w:color="auto" w:fill="FF0000"/>
          </w:tcPr>
          <w:p>
            <w:pPr>
              <w:pStyle w:val="TableParagraph"/>
              <w:spacing w:before="30"/>
              <w:ind w:left="75" w:right="80"/>
              <w:rPr>
                <w:b/>
                <w:sz w:val="20"/>
              </w:rPr>
            </w:pPr>
            <w:r>
              <w:rPr>
                <w:b/>
                <w:sz w:val="20"/>
              </w:rPr>
              <w:t>$205</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282"/>
              <w:jc w:val="left"/>
              <w:rPr>
                <w:b/>
                <w:sz w:val="20"/>
              </w:rPr>
            </w:pPr>
            <w:r>
              <w:rPr>
                <w:b/>
                <w:sz w:val="20"/>
              </w:rPr>
              <w:t>Barbara J Darroch, President</w:t>
            </w:r>
          </w:p>
        </w:tc>
        <w:tc>
          <w:tcPr>
            <w:tcW w:w="1891" w:type="dxa"/>
            <w:shd w:val="clear" w:color="auto" w:fill="FF0000"/>
          </w:tcPr>
          <w:p>
            <w:pPr>
              <w:pStyle w:val="TableParagraph"/>
              <w:spacing w:before="35"/>
              <w:ind w:left="150" w:right="157"/>
              <w:rPr>
                <w:b/>
                <w:sz w:val="20"/>
              </w:rPr>
            </w:pPr>
            <w:r>
              <w:rPr>
                <w:b/>
                <w:sz w:val="20"/>
              </w:rPr>
              <w:t>$96,807</w:t>
            </w:r>
          </w:p>
        </w:tc>
        <w:tc>
          <w:tcPr>
            <w:tcW w:w="1260" w:type="dxa"/>
            <w:shd w:val="clear" w:color="auto" w:fill="FF0000"/>
          </w:tcPr>
          <w:p>
            <w:pPr>
              <w:pStyle w:val="TableParagraph"/>
              <w:spacing w:before="35"/>
              <w:ind w:left="399" w:right="355"/>
              <w:rPr>
                <w:b/>
                <w:sz w:val="20"/>
              </w:rPr>
            </w:pPr>
            <w:r>
              <w:rPr>
                <w:b/>
                <w:sz w:val="20"/>
              </w:rPr>
              <w:t>RP</w:t>
            </w:r>
          </w:p>
        </w:tc>
        <w:tc>
          <w:tcPr>
            <w:tcW w:w="1620" w:type="dxa"/>
            <w:shd w:val="clear" w:color="auto" w:fill="FF0000"/>
          </w:tcPr>
          <w:p>
            <w:pPr>
              <w:pStyle w:val="TableParagraph"/>
              <w:spacing w:before="35"/>
              <w:ind w:left="75" w:right="80"/>
              <w:rPr>
                <w:b/>
                <w:sz w:val="20"/>
              </w:rPr>
            </w:pPr>
            <w:r>
              <w:rPr>
                <w:b/>
                <w:sz w:val="20"/>
              </w:rPr>
              <w:t>$253</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453"/>
              <w:jc w:val="left"/>
              <w:rPr>
                <w:b/>
                <w:sz w:val="20"/>
              </w:rPr>
            </w:pPr>
            <w:r>
              <w:rPr>
                <w:b/>
                <w:sz w:val="20"/>
              </w:rPr>
              <w:t>Bruce Darroch, Treasurer</w:t>
            </w:r>
          </w:p>
        </w:tc>
        <w:tc>
          <w:tcPr>
            <w:tcW w:w="1891" w:type="dxa"/>
            <w:shd w:val="clear" w:color="auto" w:fill="FF0000"/>
          </w:tcPr>
          <w:p>
            <w:pPr>
              <w:pStyle w:val="TableParagraph"/>
              <w:spacing w:before="33"/>
              <w:ind w:left="150" w:right="157"/>
              <w:rPr>
                <w:b/>
                <w:sz w:val="20"/>
              </w:rPr>
            </w:pPr>
            <w:r>
              <w:rPr>
                <w:b/>
                <w:sz w:val="20"/>
              </w:rPr>
              <w:t>$72,614</w:t>
            </w:r>
          </w:p>
        </w:tc>
        <w:tc>
          <w:tcPr>
            <w:tcW w:w="1260" w:type="dxa"/>
            <w:shd w:val="clear" w:color="auto" w:fill="FF0000"/>
          </w:tcPr>
          <w:p>
            <w:pPr>
              <w:pStyle w:val="TableParagraph"/>
              <w:spacing w:before="33"/>
              <w:ind w:left="399" w:right="355"/>
              <w:rPr>
                <w:b/>
                <w:sz w:val="20"/>
              </w:rPr>
            </w:pPr>
            <w:r>
              <w:rPr>
                <w:b/>
                <w:sz w:val="20"/>
              </w:rPr>
              <w:t>RP</w:t>
            </w:r>
          </w:p>
        </w:tc>
        <w:tc>
          <w:tcPr>
            <w:tcW w:w="1620" w:type="dxa"/>
            <w:shd w:val="clear" w:color="auto" w:fill="FF0000"/>
          </w:tcPr>
          <w:p>
            <w:pPr>
              <w:pStyle w:val="TableParagraph"/>
              <w:spacing w:before="33"/>
              <w:ind w:left="75" w:right="80"/>
              <w:rPr>
                <w:b/>
                <w:sz w:val="20"/>
              </w:rPr>
            </w:pPr>
            <w:r>
              <w:rPr>
                <w:b/>
                <w:sz w:val="20"/>
              </w:rPr>
              <w:t>$190</w:t>
            </w:r>
          </w:p>
        </w:tc>
        <w:tc>
          <w:tcPr>
            <w:tcW w:w="1261" w:type="dxa"/>
          </w:tcPr>
          <w:p>
            <w:pPr>
              <w:pStyle w:val="TableParagraph"/>
              <w:jc w:val="left"/>
              <w:rPr>
                <w:rFonts w:ascii="Times New Roman"/>
                <w:sz w:val="18"/>
              </w:rPr>
            </w:pPr>
          </w:p>
        </w:tc>
      </w:tr>
      <w:tr>
        <w:trPr>
          <w:trHeight w:val="32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$364,535</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30"/>
              <w:rPr>
                <w:b/>
                <w:sz w:val="20"/>
              </w:rPr>
            </w:pPr>
            <w:r>
              <w:rPr>
                <w:b/>
                <w:sz w:val="20"/>
              </w:rPr>
              <w:t>$952</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460"/>
              <w:jc w:val="left"/>
              <w:rPr>
                <w:b/>
                <w:sz w:val="20"/>
              </w:rPr>
            </w:pPr>
            <w:r>
              <w:rPr>
                <w:b/>
                <w:sz w:val="20"/>
              </w:rPr>
              <w:t>Blueprint Education,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45" w:right="412"/>
              <w:rPr>
                <w:b/>
                <w:sz w:val="20"/>
              </w:rPr>
            </w:pPr>
            <w:r>
              <w:rPr>
                <w:b/>
                <w:sz w:val="20"/>
              </w:rPr>
              <w:t>352</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3</w:t>
            </w:r>
          </w:p>
        </w:tc>
      </w:tr>
      <w:tr>
        <w:trPr>
          <w:trHeight w:val="460" w:hRule="atLeast"/>
        </w:trPr>
        <w:tc>
          <w:tcPr>
            <w:tcW w:w="3358" w:type="dxa"/>
          </w:tcPr>
          <w:p>
            <w:pPr>
              <w:pStyle w:val="TableParagraph"/>
              <w:spacing w:line="228" w:lineRule="exact" w:before="14"/>
              <w:ind w:left="1343" w:right="265" w:hanging="1068"/>
              <w:jc w:val="left"/>
              <w:rPr>
                <w:b/>
                <w:sz w:val="20"/>
              </w:rPr>
            </w:pPr>
            <w:r>
              <w:rPr>
                <w:b/>
                <w:sz w:val="20"/>
              </w:rPr>
              <w:t>Doug Covey, Chief Operating Officer</w:t>
            </w:r>
          </w:p>
        </w:tc>
        <w:tc>
          <w:tcPr>
            <w:tcW w:w="1891" w:type="dxa"/>
            <w:shd w:val="clear" w:color="auto" w:fill="FF0000"/>
          </w:tcPr>
          <w:p>
            <w:pPr>
              <w:pStyle w:val="TableParagraph"/>
              <w:spacing w:before="121"/>
              <w:ind w:left="148" w:right="158"/>
              <w:rPr>
                <w:b/>
                <w:sz w:val="20"/>
              </w:rPr>
            </w:pPr>
            <w:r>
              <w:rPr>
                <w:b/>
                <w:sz w:val="20"/>
              </w:rPr>
              <w:t>$116,862</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1"/>
              <w:ind w:left="75" w:right="80"/>
              <w:rPr>
                <w:b/>
                <w:sz w:val="20"/>
              </w:rPr>
            </w:pPr>
            <w:r>
              <w:rPr>
                <w:b/>
                <w:sz w:val="20"/>
              </w:rPr>
              <w:t>$332</w:t>
            </w:r>
          </w:p>
        </w:tc>
        <w:tc>
          <w:tcPr>
            <w:tcW w:w="1261" w:type="dxa"/>
          </w:tcPr>
          <w:p>
            <w:pPr>
              <w:pStyle w:val="TableParagraph"/>
              <w:jc w:val="left"/>
              <w:rPr>
                <w:rFonts w:ascii="Times New Roman"/>
                <w:sz w:val="18"/>
              </w:rPr>
            </w:pPr>
          </w:p>
        </w:tc>
      </w:tr>
      <w:tr>
        <w:trPr>
          <w:trHeight w:val="240" w:hRule="atLeast"/>
        </w:trPr>
        <w:tc>
          <w:tcPr>
            <w:tcW w:w="3358" w:type="dxa"/>
          </w:tcPr>
          <w:p>
            <w:pPr>
              <w:pStyle w:val="TableParagraph"/>
              <w:spacing w:line="227" w:lineRule="exact" w:before="11"/>
              <w:ind w:left="558"/>
              <w:jc w:val="left"/>
              <w:rPr>
                <w:b/>
                <w:sz w:val="20"/>
              </w:rPr>
            </w:pPr>
            <w:r>
              <w:rPr>
                <w:b/>
                <w:sz w:val="20"/>
              </w:rPr>
              <w:t>Mark French, President</w:t>
            </w:r>
          </w:p>
        </w:tc>
        <w:tc>
          <w:tcPr>
            <w:tcW w:w="1891" w:type="dxa"/>
            <w:shd w:val="clear" w:color="auto" w:fill="FF0000"/>
          </w:tcPr>
          <w:p>
            <w:pPr>
              <w:pStyle w:val="TableParagraph"/>
              <w:spacing w:line="227" w:lineRule="exact" w:before="11"/>
              <w:ind w:left="148" w:right="158"/>
              <w:rPr>
                <w:b/>
                <w:sz w:val="20"/>
              </w:rPr>
            </w:pPr>
            <w:r>
              <w:rPr>
                <w:b/>
                <w:sz w:val="20"/>
              </w:rPr>
              <w:t>$102,694</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line="227" w:lineRule="exact" w:before="11"/>
              <w:ind w:left="75" w:right="80"/>
              <w:rPr>
                <w:b/>
                <w:sz w:val="20"/>
              </w:rPr>
            </w:pPr>
            <w:r>
              <w:rPr>
                <w:b/>
                <w:sz w:val="20"/>
              </w:rPr>
              <w:t>$292</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$219,556</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30"/>
              <w:rPr>
                <w:b/>
                <w:sz w:val="20"/>
              </w:rPr>
            </w:pPr>
            <w:r>
              <w:rPr>
                <w:b/>
                <w:sz w:val="20"/>
              </w:rPr>
              <w:t>$624</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9"/>
              <w:ind w:left="681"/>
              <w:jc w:val="left"/>
              <w:rPr>
                <w:b/>
                <w:sz w:val="20"/>
              </w:rPr>
            </w:pPr>
            <w:r>
              <w:rPr>
                <w:b/>
                <w:sz w:val="20"/>
              </w:rPr>
              <w:t>Candeo Schools,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9"/>
              <w:ind w:left="345" w:right="412"/>
              <w:rPr>
                <w:b/>
                <w:sz w:val="20"/>
              </w:rPr>
            </w:pPr>
            <w:r>
              <w:rPr>
                <w:b/>
                <w:sz w:val="20"/>
              </w:rPr>
              <w:t>531</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9"/>
              <w:ind w:right="64"/>
              <w:rPr>
                <w:b/>
                <w:sz w:val="20"/>
              </w:rPr>
            </w:pPr>
            <w:r>
              <w:rPr>
                <w:b/>
                <w:w w:val="97"/>
                <w:sz w:val="20"/>
              </w:rPr>
              <w:t>1</w:t>
            </w:r>
          </w:p>
        </w:tc>
      </w:tr>
      <w:tr>
        <w:trPr>
          <w:trHeight w:val="480" w:hRule="atLeast"/>
        </w:trPr>
        <w:tc>
          <w:tcPr>
            <w:tcW w:w="3358" w:type="dxa"/>
          </w:tcPr>
          <w:p>
            <w:pPr>
              <w:pStyle w:val="TableParagraph"/>
              <w:spacing w:line="230" w:lineRule="atLeast" w:before="6"/>
              <w:ind w:left="1281" w:right="276" w:hanging="996"/>
              <w:jc w:val="left"/>
              <w:rPr>
                <w:b/>
                <w:sz w:val="20"/>
              </w:rPr>
            </w:pPr>
            <w:r>
              <w:rPr>
                <w:b/>
                <w:sz w:val="20"/>
              </w:rPr>
              <w:t>Stephanie Musser, Executive Director</w:t>
            </w:r>
          </w:p>
        </w:tc>
        <w:tc>
          <w:tcPr>
            <w:tcW w:w="1891" w:type="dxa"/>
            <w:shd w:val="clear" w:color="auto" w:fill="FFFF00"/>
          </w:tcPr>
          <w:p>
            <w:pPr>
              <w:pStyle w:val="TableParagraph"/>
              <w:spacing w:before="121"/>
              <w:ind w:left="148" w:right="158"/>
              <w:rPr>
                <w:b/>
                <w:sz w:val="20"/>
              </w:rPr>
            </w:pPr>
            <w:r>
              <w:rPr>
                <w:b/>
                <w:sz w:val="20"/>
              </w:rPr>
              <w:t>$109,062</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121"/>
              <w:ind w:left="75" w:right="80"/>
              <w:rPr>
                <w:b/>
                <w:sz w:val="20"/>
              </w:rPr>
            </w:pPr>
            <w:r>
              <w:rPr>
                <w:b/>
                <w:sz w:val="20"/>
              </w:rPr>
              <w:t>$205</w:t>
            </w:r>
          </w:p>
        </w:tc>
        <w:tc>
          <w:tcPr>
            <w:tcW w:w="1261" w:type="dxa"/>
          </w:tcPr>
          <w:p>
            <w:pPr>
              <w:pStyle w:val="TableParagraph"/>
              <w:jc w:val="left"/>
              <w:rPr>
                <w:rFonts w:ascii="Times New Roman"/>
                <w:sz w:val="18"/>
              </w:rPr>
            </w:pPr>
          </w:p>
        </w:tc>
      </w:tr>
      <w:tr>
        <w:trPr>
          <w:trHeight w:val="400" w:hRule="atLeast"/>
        </w:trPr>
        <w:tc>
          <w:tcPr>
            <w:tcW w:w="3358" w:type="dxa"/>
            <w:shd w:val="clear" w:color="auto" w:fill="C0C0C0"/>
          </w:tcPr>
          <w:p>
            <w:pPr>
              <w:pStyle w:val="TableParagraph"/>
              <w:spacing w:line="201" w:lineRule="exact"/>
              <w:ind w:left="149" w:right="110"/>
              <w:rPr>
                <w:b/>
                <w:sz w:val="20"/>
              </w:rPr>
            </w:pPr>
            <w:r>
              <w:rPr>
                <w:b/>
                <w:sz w:val="20"/>
              </w:rPr>
              <w:t>Carpe Diem Collegiate High</w:t>
            </w:r>
          </w:p>
          <w:p>
            <w:pPr>
              <w:pStyle w:val="TableParagraph"/>
              <w:spacing w:line="199" w:lineRule="exact"/>
              <w:ind w:left="106" w:right="114"/>
              <w:rPr>
                <w:b/>
                <w:sz w:val="20"/>
              </w:rPr>
            </w:pPr>
            <w:r>
              <w:rPr>
                <w:b/>
                <w:sz w:val="20"/>
              </w:rPr>
              <w:t>School</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left="345" w:right="412"/>
              <w:rPr>
                <w:b/>
                <w:sz w:val="20"/>
              </w:rPr>
            </w:pPr>
            <w:r>
              <w:rPr>
                <w:b/>
                <w:sz w:val="20"/>
              </w:rPr>
              <w:t>645</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left="43"/>
              <w:rPr>
                <w:b/>
                <w:sz w:val="20"/>
              </w:rPr>
            </w:pPr>
            <w:r>
              <w:rPr>
                <w:b/>
                <w:w w:val="97"/>
                <w:sz w:val="20"/>
              </w:rPr>
              <w:t>2</w:t>
            </w:r>
          </w:p>
        </w:tc>
      </w:tr>
      <w:tr>
        <w:trPr>
          <w:trHeight w:val="320" w:hRule="atLeast"/>
        </w:trPr>
        <w:tc>
          <w:tcPr>
            <w:tcW w:w="3358" w:type="dxa"/>
          </w:tcPr>
          <w:p>
            <w:pPr>
              <w:pStyle w:val="TableParagraph"/>
              <w:spacing w:before="47"/>
              <w:ind w:left="565"/>
              <w:jc w:val="left"/>
              <w:rPr>
                <w:b/>
                <w:sz w:val="20"/>
              </w:rPr>
            </w:pPr>
            <w:r>
              <w:rPr>
                <w:b/>
                <w:sz w:val="20"/>
              </w:rPr>
              <w:t>Rick Ogston, President</w:t>
            </w:r>
          </w:p>
        </w:tc>
        <w:tc>
          <w:tcPr>
            <w:tcW w:w="1891" w:type="dxa"/>
            <w:shd w:val="clear" w:color="auto" w:fill="FFFF00"/>
          </w:tcPr>
          <w:p>
            <w:pPr>
              <w:pStyle w:val="TableParagraph"/>
              <w:spacing w:before="47"/>
              <w:ind w:left="148" w:right="158"/>
              <w:rPr>
                <w:b/>
                <w:sz w:val="20"/>
              </w:rPr>
            </w:pPr>
            <w:r>
              <w:rPr>
                <w:b/>
                <w:sz w:val="20"/>
              </w:rPr>
              <w:t>$155,811</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47"/>
              <w:ind w:left="75" w:right="80"/>
              <w:rPr>
                <w:b/>
                <w:sz w:val="20"/>
              </w:rPr>
            </w:pPr>
            <w:r>
              <w:rPr>
                <w:b/>
                <w:sz w:val="20"/>
              </w:rPr>
              <w:t>$242</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625"/>
              <w:jc w:val="left"/>
              <w:rPr>
                <w:b/>
                <w:sz w:val="20"/>
              </w:rPr>
            </w:pPr>
            <w:r>
              <w:rPr>
                <w:b/>
                <w:sz w:val="20"/>
              </w:rPr>
              <w:t>Challenge School,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45" w:right="412"/>
              <w:rPr>
                <w:b/>
                <w:sz w:val="20"/>
              </w:rPr>
            </w:pPr>
            <w:r>
              <w:rPr>
                <w:b/>
                <w:sz w:val="20"/>
              </w:rPr>
              <w:t>526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1</w:t>
            </w:r>
          </w:p>
        </w:tc>
      </w:tr>
      <w:tr>
        <w:trPr>
          <w:trHeight w:val="460" w:hRule="atLeast"/>
        </w:trPr>
        <w:tc>
          <w:tcPr>
            <w:tcW w:w="3358" w:type="dxa"/>
          </w:tcPr>
          <w:p>
            <w:pPr>
              <w:pStyle w:val="TableParagraph"/>
              <w:spacing w:line="230" w:lineRule="atLeast" w:before="6"/>
              <w:ind w:left="760" w:firstLine="259"/>
              <w:jc w:val="left"/>
              <w:rPr>
                <w:b/>
                <w:sz w:val="20"/>
              </w:rPr>
            </w:pPr>
            <w:r>
              <w:rPr>
                <w:b/>
                <w:sz w:val="20"/>
              </w:rPr>
              <w:t>Wendy Miller, </w:t>
            </w:r>
            <w:r>
              <w:rPr>
                <w:b/>
                <w:w w:val="90"/>
                <w:sz w:val="20"/>
              </w:rPr>
              <w:t>Secretary/Principal</w:t>
            </w:r>
          </w:p>
        </w:tc>
        <w:tc>
          <w:tcPr>
            <w:tcW w:w="1891" w:type="dxa"/>
            <w:shd w:val="clear" w:color="auto" w:fill="FFFF00"/>
          </w:tcPr>
          <w:p>
            <w:pPr>
              <w:pStyle w:val="TableParagraph"/>
              <w:spacing w:before="119"/>
              <w:ind w:left="150" w:right="157"/>
              <w:rPr>
                <w:b/>
                <w:sz w:val="20"/>
              </w:rPr>
            </w:pPr>
            <w:r>
              <w:rPr>
                <w:b/>
                <w:sz w:val="20"/>
              </w:rPr>
              <w:t>$95,833</w:t>
            </w:r>
          </w:p>
        </w:tc>
        <w:tc>
          <w:tcPr>
            <w:tcW w:w="1260" w:type="dxa"/>
            <w:shd w:val="clear" w:color="auto" w:fill="FFFF00"/>
          </w:tcPr>
          <w:p>
            <w:pPr>
              <w:pStyle w:val="TableParagraph"/>
              <w:spacing w:before="119"/>
              <w:ind w:left="399" w:right="405"/>
              <w:rPr>
                <w:b/>
                <w:sz w:val="20"/>
              </w:rPr>
            </w:pPr>
            <w:r>
              <w:rPr>
                <w:b/>
                <w:sz w:val="20"/>
              </w:rPr>
              <w:t>RP</w:t>
            </w:r>
          </w:p>
        </w:tc>
        <w:tc>
          <w:tcPr>
            <w:tcW w:w="1620" w:type="dxa"/>
            <w:shd w:val="clear" w:color="auto" w:fill="FFFF00"/>
          </w:tcPr>
          <w:p>
            <w:pPr>
              <w:pStyle w:val="TableParagraph"/>
              <w:spacing w:before="119"/>
              <w:ind w:left="75" w:right="80"/>
              <w:rPr>
                <w:b/>
                <w:sz w:val="20"/>
              </w:rPr>
            </w:pPr>
            <w:r>
              <w:rPr>
                <w:b/>
                <w:sz w:val="20"/>
              </w:rPr>
              <w:t>$182</w:t>
            </w:r>
          </w:p>
        </w:tc>
        <w:tc>
          <w:tcPr>
            <w:tcW w:w="1261" w:type="dxa"/>
          </w:tcPr>
          <w:p>
            <w:pPr>
              <w:pStyle w:val="TableParagraph"/>
              <w:spacing w:before="119"/>
              <w:ind w:left="243" w:right="201"/>
              <w:rPr>
                <w:b/>
                <w:sz w:val="20"/>
              </w:rPr>
            </w:pPr>
            <w:r>
              <w:rPr>
                <w:b/>
                <w:sz w:val="20"/>
              </w:rPr>
              <w:t>Multiple</w:t>
            </w:r>
          </w:p>
        </w:tc>
      </w:tr>
      <w:tr>
        <w:trPr>
          <w:trHeight w:val="460" w:hRule="atLeast"/>
        </w:trPr>
        <w:tc>
          <w:tcPr>
            <w:tcW w:w="3358" w:type="dxa"/>
          </w:tcPr>
          <w:p>
            <w:pPr>
              <w:pStyle w:val="TableParagraph"/>
              <w:spacing w:line="225" w:lineRule="auto" w:before="6"/>
              <w:ind w:left="405" w:firstLine="554"/>
              <w:jc w:val="left"/>
              <w:rPr>
                <w:b/>
                <w:sz w:val="20"/>
              </w:rPr>
            </w:pPr>
            <w:r>
              <w:rPr>
                <w:b/>
                <w:sz w:val="20"/>
              </w:rPr>
              <w:t>Gregory Miller, </w:t>
            </w:r>
            <w:r>
              <w:rPr>
                <w:b/>
                <w:w w:val="95"/>
                <w:sz w:val="20"/>
              </w:rPr>
              <w:t>Chair/CEO/Superintendent</w:t>
            </w:r>
          </w:p>
        </w:tc>
        <w:tc>
          <w:tcPr>
            <w:tcW w:w="1891" w:type="dxa"/>
            <w:shd w:val="clear" w:color="auto" w:fill="FFFF00"/>
          </w:tcPr>
          <w:p>
            <w:pPr>
              <w:pStyle w:val="TableParagraph"/>
              <w:spacing w:before="105"/>
              <w:ind w:left="150" w:right="157"/>
              <w:rPr>
                <w:b/>
                <w:sz w:val="20"/>
              </w:rPr>
            </w:pPr>
            <w:r>
              <w:rPr>
                <w:b/>
                <w:sz w:val="20"/>
              </w:rPr>
              <w:t>$84,802</w:t>
            </w:r>
          </w:p>
        </w:tc>
        <w:tc>
          <w:tcPr>
            <w:tcW w:w="1260" w:type="dxa"/>
            <w:shd w:val="clear" w:color="auto" w:fill="FFFF00"/>
          </w:tcPr>
          <w:p>
            <w:pPr>
              <w:pStyle w:val="TableParagraph"/>
              <w:spacing w:before="105"/>
              <w:ind w:left="399" w:right="405"/>
              <w:rPr>
                <w:b/>
                <w:sz w:val="20"/>
              </w:rPr>
            </w:pPr>
            <w:r>
              <w:rPr>
                <w:b/>
                <w:sz w:val="20"/>
              </w:rPr>
              <w:t>RP</w:t>
            </w:r>
          </w:p>
        </w:tc>
        <w:tc>
          <w:tcPr>
            <w:tcW w:w="1620" w:type="dxa"/>
            <w:shd w:val="clear" w:color="auto" w:fill="FFFF00"/>
          </w:tcPr>
          <w:p>
            <w:pPr>
              <w:pStyle w:val="TableParagraph"/>
              <w:spacing w:before="105"/>
              <w:ind w:left="75" w:right="80"/>
              <w:rPr>
                <w:b/>
                <w:sz w:val="20"/>
              </w:rPr>
            </w:pPr>
            <w:r>
              <w:rPr>
                <w:b/>
                <w:sz w:val="20"/>
              </w:rPr>
              <w:t>$161</w:t>
            </w:r>
          </w:p>
        </w:tc>
        <w:tc>
          <w:tcPr>
            <w:tcW w:w="1261" w:type="dxa"/>
          </w:tcPr>
          <w:p>
            <w:pPr>
              <w:pStyle w:val="TableParagraph"/>
              <w:spacing w:before="105"/>
              <w:ind w:left="241" w:right="201"/>
              <w:rPr>
                <w:b/>
                <w:sz w:val="20"/>
              </w:rPr>
            </w:pPr>
            <w:r>
              <w:rPr>
                <w:b/>
                <w:sz w:val="20"/>
              </w:rPr>
              <w:t>Related</w:t>
            </w:r>
          </w:p>
        </w:tc>
      </w:tr>
      <w:tr>
        <w:trPr>
          <w:trHeight w:val="460" w:hRule="atLeast"/>
        </w:trPr>
        <w:tc>
          <w:tcPr>
            <w:tcW w:w="3358" w:type="dxa"/>
          </w:tcPr>
          <w:p>
            <w:pPr>
              <w:pStyle w:val="TableParagraph"/>
              <w:spacing w:line="225" w:lineRule="auto" w:before="6"/>
              <w:ind w:left="1281" w:right="389" w:hanging="876"/>
              <w:jc w:val="left"/>
              <w:rPr>
                <w:b/>
                <w:sz w:val="20"/>
              </w:rPr>
            </w:pPr>
            <w:r>
              <w:rPr>
                <w:b/>
                <w:sz w:val="20"/>
              </w:rPr>
              <w:t>Pamela A Miller, Executive Director</w:t>
            </w:r>
          </w:p>
        </w:tc>
        <w:tc>
          <w:tcPr>
            <w:tcW w:w="1891" w:type="dxa"/>
            <w:shd w:val="clear" w:color="auto" w:fill="FFFF00"/>
          </w:tcPr>
          <w:p>
            <w:pPr>
              <w:pStyle w:val="TableParagraph"/>
              <w:spacing w:before="105"/>
              <w:ind w:left="150" w:right="157"/>
              <w:rPr>
                <w:b/>
                <w:sz w:val="20"/>
              </w:rPr>
            </w:pPr>
            <w:r>
              <w:rPr>
                <w:b/>
                <w:sz w:val="20"/>
              </w:rPr>
              <w:t>$59,802</w:t>
            </w:r>
          </w:p>
        </w:tc>
        <w:tc>
          <w:tcPr>
            <w:tcW w:w="1260" w:type="dxa"/>
            <w:shd w:val="clear" w:color="auto" w:fill="FFFF00"/>
          </w:tcPr>
          <w:p>
            <w:pPr>
              <w:pStyle w:val="TableParagraph"/>
              <w:spacing w:before="105"/>
              <w:ind w:left="399" w:right="405"/>
              <w:rPr>
                <w:b/>
                <w:sz w:val="20"/>
              </w:rPr>
            </w:pPr>
            <w:r>
              <w:rPr>
                <w:b/>
                <w:sz w:val="20"/>
              </w:rPr>
              <w:t>RP</w:t>
            </w:r>
          </w:p>
        </w:tc>
        <w:tc>
          <w:tcPr>
            <w:tcW w:w="1620" w:type="dxa"/>
            <w:shd w:val="clear" w:color="auto" w:fill="FFFF00"/>
          </w:tcPr>
          <w:p>
            <w:pPr>
              <w:pStyle w:val="TableParagraph"/>
              <w:spacing w:before="105"/>
              <w:ind w:left="75" w:right="80"/>
              <w:rPr>
                <w:b/>
                <w:sz w:val="20"/>
              </w:rPr>
            </w:pPr>
            <w:r>
              <w:rPr>
                <w:b/>
                <w:sz w:val="20"/>
              </w:rPr>
              <w:t>$114</w:t>
            </w:r>
          </w:p>
        </w:tc>
        <w:tc>
          <w:tcPr>
            <w:tcW w:w="1261" w:type="dxa"/>
          </w:tcPr>
          <w:p>
            <w:pPr>
              <w:pStyle w:val="TableParagraph"/>
              <w:spacing w:before="105"/>
              <w:ind w:left="243" w:right="199"/>
              <w:rPr>
                <w:b/>
                <w:sz w:val="20"/>
              </w:rPr>
            </w:pPr>
            <w:r>
              <w:rPr>
                <w:b/>
                <w:sz w:val="20"/>
              </w:rPr>
              <w:t>Parties</w:t>
            </w: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FF00"/>
          </w:tcPr>
          <w:p>
            <w:pPr>
              <w:pStyle w:val="TableParagraph"/>
              <w:spacing w:before="33"/>
              <w:ind w:left="148" w:right="158"/>
              <w:rPr>
                <w:b/>
                <w:sz w:val="20"/>
              </w:rPr>
            </w:pPr>
            <w:r>
              <w:rPr>
                <w:b/>
                <w:sz w:val="20"/>
              </w:rPr>
              <w:t>$240,437</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33"/>
              <w:ind w:left="75" w:right="30"/>
              <w:rPr>
                <w:b/>
                <w:sz w:val="20"/>
              </w:rPr>
            </w:pPr>
            <w:r>
              <w:rPr>
                <w:b/>
                <w:sz w:val="20"/>
              </w:rPr>
              <w:t>$457</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290"/>
              <w:jc w:val="left"/>
              <w:rPr>
                <w:b/>
                <w:sz w:val="20"/>
              </w:rPr>
            </w:pPr>
            <w:r>
              <w:rPr>
                <w:b/>
                <w:sz w:val="20"/>
              </w:rPr>
              <w:t>Challenger Basic School,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45" w:right="412"/>
              <w:rPr>
                <w:b/>
                <w:sz w:val="20"/>
              </w:rPr>
            </w:pPr>
            <w:r>
              <w:rPr>
                <w:b/>
                <w:sz w:val="20"/>
              </w:rPr>
              <w:t>126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1</w:t>
            </w:r>
          </w:p>
        </w:tc>
      </w:tr>
    </w:tbl>
    <w:p>
      <w:pPr>
        <w:spacing w:after="0"/>
        <w:rPr>
          <w:sz w:val="20"/>
        </w:rPr>
        <w:sectPr>
          <w:pgSz w:w="12240" w:h="15840"/>
          <w:pgMar w:header="740" w:footer="1002" w:top="940" w:bottom="1200" w:left="1300" w:right="1300"/>
        </w:sectPr>
      </w:pPr>
    </w:p>
    <w:p>
      <w:pPr>
        <w:pStyle w:val="BodyText"/>
        <w:rPr>
          <w:rFonts w:ascii="Times New Roman"/>
          <w:sz w:val="20"/>
        </w:rPr>
      </w:pPr>
    </w:p>
    <w:p>
      <w:pPr>
        <w:pStyle w:val="BodyText"/>
        <w:spacing w:before="2"/>
        <w:rPr>
          <w:rFonts w:ascii="Times New Roman"/>
          <w:sz w:val="22"/>
        </w:rPr>
      </w:pP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4"/>
              <w:ind w:left="954"/>
              <w:jc w:val="left"/>
              <w:rPr>
                <w:b/>
                <w:sz w:val="20"/>
              </w:rPr>
            </w:pPr>
            <w:r>
              <w:rPr>
                <w:b/>
                <w:sz w:val="20"/>
              </w:rPr>
              <w:t>Name and Title</w:t>
            </w:r>
          </w:p>
        </w:tc>
        <w:tc>
          <w:tcPr>
            <w:tcW w:w="1891" w:type="dxa"/>
            <w:tcBorders>
              <w:bottom w:val="nil"/>
            </w:tcBorders>
            <w:shd w:val="clear" w:color="auto" w:fill="D99493"/>
          </w:tcPr>
          <w:p>
            <w:pPr>
              <w:pStyle w:val="TableParagraph"/>
              <w:spacing w:before="26"/>
              <w:ind w:left="148" w:right="158"/>
              <w:rPr>
                <w:b/>
                <w:sz w:val="20"/>
              </w:rPr>
            </w:pPr>
            <w:r>
              <w:rPr>
                <w:b/>
                <w:sz w:val="20"/>
              </w:rPr>
              <w:t>Salary 990</w:t>
            </w:r>
          </w:p>
        </w:tc>
        <w:tc>
          <w:tcPr>
            <w:tcW w:w="1260" w:type="dxa"/>
            <w:vMerge w:val="restart"/>
            <w:shd w:val="clear" w:color="auto" w:fill="D99493"/>
          </w:tcPr>
          <w:p>
            <w:pPr>
              <w:pStyle w:val="TableParagraph"/>
              <w:spacing w:before="78"/>
              <w:ind w:left="477" w:right="294" w:hanging="173"/>
              <w:jc w:val="left"/>
              <w:rPr>
                <w:b/>
                <w:sz w:val="20"/>
              </w:rPr>
            </w:pPr>
            <w:r>
              <w:rPr>
                <w:b/>
                <w:sz w:val="20"/>
              </w:rPr>
              <w:t># ADM RP</w:t>
            </w:r>
          </w:p>
        </w:tc>
        <w:tc>
          <w:tcPr>
            <w:tcW w:w="1620" w:type="dxa"/>
            <w:vMerge w:val="restart"/>
            <w:shd w:val="clear" w:color="auto" w:fill="D99493"/>
          </w:tcPr>
          <w:p>
            <w:pPr>
              <w:pStyle w:val="TableParagraph"/>
              <w:spacing w:before="194"/>
              <w:ind w:left="119"/>
              <w:jc w:val="left"/>
              <w:rPr>
                <w:b/>
                <w:sz w:val="20"/>
              </w:rPr>
            </w:pPr>
            <w:r>
              <w:rPr>
                <w:b/>
                <w:sz w:val="20"/>
                <w:u w:val="thick"/>
              </w:rPr>
              <w:t>Cost per Pupil</w:t>
            </w:r>
          </w:p>
        </w:tc>
        <w:tc>
          <w:tcPr>
            <w:tcW w:w="1261" w:type="dxa"/>
            <w:vMerge w:val="restart"/>
            <w:shd w:val="clear" w:color="auto" w:fill="D99493"/>
          </w:tcPr>
          <w:p>
            <w:pPr>
              <w:pStyle w:val="TableParagraph"/>
              <w:spacing w:before="194"/>
              <w:ind w:left="295"/>
              <w:jc w:val="left"/>
              <w:rPr>
                <w:b/>
                <w:sz w:val="20"/>
              </w:rPr>
            </w:pPr>
            <w:r>
              <w:rPr>
                <w:b/>
                <w:sz w:val="20"/>
              </w:rPr>
              <w:t># Sites</w:t>
            </w:r>
          </w:p>
        </w:tc>
      </w:tr>
      <w:tr>
        <w:trPr>
          <w:trHeight w:val="28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2"/>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320" w:hRule="atLeast"/>
        </w:trPr>
        <w:tc>
          <w:tcPr>
            <w:tcW w:w="3358" w:type="dxa"/>
          </w:tcPr>
          <w:p>
            <w:pPr>
              <w:pStyle w:val="TableParagraph"/>
              <w:spacing w:before="54"/>
              <w:ind w:left="625"/>
              <w:jc w:val="left"/>
              <w:rPr>
                <w:b/>
                <w:sz w:val="20"/>
              </w:rPr>
            </w:pPr>
            <w:r>
              <w:rPr>
                <w:b/>
                <w:sz w:val="20"/>
              </w:rPr>
              <w:t>Brad Tobin, President</w:t>
            </w:r>
          </w:p>
        </w:tc>
        <w:tc>
          <w:tcPr>
            <w:tcW w:w="1891" w:type="dxa"/>
            <w:shd w:val="clear" w:color="auto" w:fill="FF0000"/>
          </w:tcPr>
          <w:p>
            <w:pPr>
              <w:pStyle w:val="TableParagraph"/>
              <w:spacing w:before="54"/>
              <w:ind w:left="148" w:right="158"/>
              <w:rPr>
                <w:b/>
                <w:sz w:val="20"/>
              </w:rPr>
            </w:pPr>
            <w:r>
              <w:rPr>
                <w:b/>
                <w:sz w:val="20"/>
              </w:rPr>
              <w:t>$120,756</w:t>
            </w:r>
          </w:p>
        </w:tc>
        <w:tc>
          <w:tcPr>
            <w:tcW w:w="1260" w:type="dxa"/>
            <w:shd w:val="clear" w:color="auto" w:fill="FF0000"/>
          </w:tcPr>
          <w:p>
            <w:pPr>
              <w:pStyle w:val="TableParagraph"/>
              <w:spacing w:before="54"/>
              <w:ind w:right="483"/>
              <w:jc w:val="right"/>
              <w:rPr>
                <w:b/>
                <w:sz w:val="20"/>
              </w:rPr>
            </w:pPr>
            <w:r>
              <w:rPr>
                <w:b/>
                <w:w w:val="90"/>
                <w:sz w:val="20"/>
              </w:rPr>
              <w:t>RP</w:t>
            </w:r>
          </w:p>
        </w:tc>
        <w:tc>
          <w:tcPr>
            <w:tcW w:w="1620" w:type="dxa"/>
            <w:shd w:val="clear" w:color="auto" w:fill="FF0000"/>
          </w:tcPr>
          <w:p>
            <w:pPr>
              <w:pStyle w:val="TableParagraph"/>
              <w:spacing w:before="54"/>
              <w:ind w:left="75" w:right="80"/>
              <w:rPr>
                <w:b/>
                <w:sz w:val="20"/>
              </w:rPr>
            </w:pPr>
            <w:r>
              <w:rPr>
                <w:b/>
                <w:sz w:val="20"/>
              </w:rPr>
              <w:t>$370</w:t>
            </w:r>
          </w:p>
        </w:tc>
        <w:tc>
          <w:tcPr>
            <w:tcW w:w="1261" w:type="dxa"/>
          </w:tcPr>
          <w:p>
            <w:pPr>
              <w:pStyle w:val="TableParagraph"/>
              <w:jc w:val="left"/>
              <w:rPr>
                <w:rFonts w:ascii="Times New Roman"/>
                <w:sz w:val="18"/>
              </w:rPr>
            </w:pPr>
          </w:p>
        </w:tc>
      </w:tr>
      <w:tr>
        <w:trPr>
          <w:trHeight w:val="440" w:hRule="atLeast"/>
        </w:trPr>
        <w:tc>
          <w:tcPr>
            <w:tcW w:w="3358" w:type="dxa"/>
          </w:tcPr>
          <w:p>
            <w:pPr>
              <w:pStyle w:val="TableParagraph"/>
              <w:spacing w:line="218" w:lineRule="exact" w:before="5"/>
              <w:ind w:left="973" w:right="966"/>
              <w:jc w:val="left"/>
              <w:rPr>
                <w:b/>
                <w:sz w:val="20"/>
              </w:rPr>
            </w:pPr>
            <w:r>
              <w:rPr>
                <w:b/>
                <w:sz w:val="20"/>
              </w:rPr>
              <w:t>Deanne Tobin, Vice President</w:t>
            </w:r>
          </w:p>
        </w:tc>
        <w:tc>
          <w:tcPr>
            <w:tcW w:w="1891" w:type="dxa"/>
            <w:shd w:val="clear" w:color="auto" w:fill="FF0000"/>
          </w:tcPr>
          <w:p>
            <w:pPr>
              <w:pStyle w:val="TableParagraph"/>
              <w:spacing w:before="105"/>
              <w:ind w:left="148" w:right="158"/>
              <w:rPr>
                <w:b/>
                <w:sz w:val="20"/>
              </w:rPr>
            </w:pPr>
            <w:r>
              <w:rPr>
                <w:b/>
                <w:sz w:val="20"/>
              </w:rPr>
              <w:t>$118,000</w:t>
            </w:r>
          </w:p>
        </w:tc>
        <w:tc>
          <w:tcPr>
            <w:tcW w:w="1260" w:type="dxa"/>
            <w:shd w:val="clear" w:color="auto" w:fill="FF0000"/>
          </w:tcPr>
          <w:p>
            <w:pPr>
              <w:pStyle w:val="TableParagraph"/>
              <w:spacing w:before="105"/>
              <w:ind w:right="454"/>
              <w:jc w:val="right"/>
              <w:rPr>
                <w:b/>
                <w:sz w:val="20"/>
              </w:rPr>
            </w:pPr>
            <w:r>
              <w:rPr>
                <w:b/>
                <w:w w:val="90"/>
                <w:sz w:val="20"/>
              </w:rPr>
              <w:t>RP</w:t>
            </w:r>
          </w:p>
        </w:tc>
        <w:tc>
          <w:tcPr>
            <w:tcW w:w="1620" w:type="dxa"/>
            <w:shd w:val="clear" w:color="auto" w:fill="FF0000"/>
          </w:tcPr>
          <w:p>
            <w:pPr>
              <w:pStyle w:val="TableParagraph"/>
              <w:spacing w:before="105"/>
              <w:ind w:left="75" w:right="80"/>
              <w:rPr>
                <w:b/>
                <w:sz w:val="20"/>
              </w:rPr>
            </w:pPr>
            <w:r>
              <w:rPr>
                <w:b/>
                <w:sz w:val="20"/>
              </w:rPr>
              <w:t>$362</w:t>
            </w:r>
          </w:p>
        </w:tc>
        <w:tc>
          <w:tcPr>
            <w:tcW w:w="1261" w:type="dxa"/>
          </w:tcPr>
          <w:p>
            <w:pPr>
              <w:pStyle w:val="TableParagraph"/>
              <w:jc w:val="left"/>
              <w:rPr>
                <w:rFonts w:ascii="Times New Roman"/>
                <w:sz w:val="18"/>
              </w:rPr>
            </w:pPr>
          </w:p>
        </w:tc>
      </w:tr>
      <w:tr>
        <w:trPr>
          <w:trHeight w:val="299" w:hRule="atLeast"/>
        </w:trPr>
        <w:tc>
          <w:tcPr>
            <w:tcW w:w="3358" w:type="dxa"/>
          </w:tcPr>
          <w:p>
            <w:pPr>
              <w:pStyle w:val="TableParagraph"/>
              <w:spacing w:before="34"/>
              <w:ind w:left="726"/>
              <w:jc w:val="left"/>
              <w:rPr>
                <w:b/>
                <w:sz w:val="20"/>
              </w:rPr>
            </w:pPr>
            <w:r>
              <w:rPr>
                <w:b/>
                <w:sz w:val="20"/>
              </w:rPr>
              <w:t>Administrative Sum</w:t>
            </w:r>
          </w:p>
        </w:tc>
        <w:tc>
          <w:tcPr>
            <w:tcW w:w="1891" w:type="dxa"/>
            <w:shd w:val="clear" w:color="auto" w:fill="FF0000"/>
          </w:tcPr>
          <w:p>
            <w:pPr>
              <w:pStyle w:val="TableParagraph"/>
              <w:spacing w:before="34"/>
              <w:ind w:left="148" w:right="158"/>
              <w:rPr>
                <w:b/>
                <w:sz w:val="20"/>
              </w:rPr>
            </w:pPr>
            <w:r>
              <w:rPr>
                <w:b/>
                <w:sz w:val="20"/>
              </w:rPr>
              <w:t>$238,756</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4"/>
              <w:ind w:left="75" w:right="30"/>
              <w:rPr>
                <w:b/>
                <w:sz w:val="20"/>
              </w:rPr>
            </w:pPr>
            <w:r>
              <w:rPr>
                <w:b/>
                <w:sz w:val="20"/>
              </w:rPr>
              <w:t>$732</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520"/>
              <w:jc w:val="left"/>
              <w:rPr>
                <w:b/>
                <w:sz w:val="20"/>
              </w:rPr>
            </w:pPr>
            <w:r>
              <w:rPr>
                <w:b/>
                <w:sz w:val="20"/>
              </w:rPr>
              <w:t>Choice Academies,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837</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588"/>
              <w:jc w:val="left"/>
              <w:rPr>
                <w:b/>
                <w:sz w:val="20"/>
              </w:rPr>
            </w:pPr>
            <w:r>
              <w:rPr>
                <w:b/>
                <w:w w:val="97"/>
                <w:sz w:val="20"/>
              </w:rPr>
              <w:t>1</w:t>
            </w:r>
          </w:p>
        </w:tc>
      </w:tr>
      <w:tr>
        <w:trPr>
          <w:trHeight w:val="480" w:hRule="atLeast"/>
        </w:trPr>
        <w:tc>
          <w:tcPr>
            <w:tcW w:w="3358" w:type="dxa"/>
          </w:tcPr>
          <w:p>
            <w:pPr>
              <w:pStyle w:val="TableParagraph"/>
              <w:spacing w:line="228" w:lineRule="exact" w:before="14"/>
              <w:ind w:left="769" w:right="759" w:firstLine="151"/>
              <w:jc w:val="left"/>
              <w:rPr>
                <w:b/>
                <w:sz w:val="20"/>
              </w:rPr>
            </w:pPr>
            <w:r>
              <w:rPr>
                <w:b/>
                <w:sz w:val="20"/>
              </w:rPr>
              <w:t>Sharon Malone, Director - Principal</w:t>
            </w:r>
          </w:p>
        </w:tc>
        <w:tc>
          <w:tcPr>
            <w:tcW w:w="1891" w:type="dxa"/>
            <w:shd w:val="clear" w:color="auto" w:fill="92D050"/>
          </w:tcPr>
          <w:p>
            <w:pPr>
              <w:pStyle w:val="TableParagraph"/>
              <w:spacing w:before="121"/>
              <w:ind w:left="148" w:right="158"/>
              <w:rPr>
                <w:b/>
                <w:sz w:val="20"/>
              </w:rPr>
            </w:pPr>
            <w:r>
              <w:rPr>
                <w:b/>
                <w:sz w:val="20"/>
              </w:rPr>
              <w:t>$112,427</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21"/>
              <w:ind w:left="75" w:right="80"/>
              <w:rPr>
                <w:b/>
                <w:sz w:val="20"/>
              </w:rPr>
            </w:pPr>
            <w:r>
              <w:rPr>
                <w:b/>
                <w:sz w:val="20"/>
              </w:rPr>
              <w:t>$134</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354"/>
              <w:jc w:val="left"/>
              <w:rPr>
                <w:b/>
                <w:sz w:val="20"/>
              </w:rPr>
            </w:pPr>
            <w:r>
              <w:rPr>
                <w:b/>
                <w:sz w:val="20"/>
              </w:rPr>
              <w:t>Crown Charter School,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84"/>
              <w:jc w:val="right"/>
              <w:rPr>
                <w:b/>
                <w:sz w:val="20"/>
              </w:rPr>
            </w:pPr>
            <w:r>
              <w:rPr>
                <w:b/>
                <w:sz w:val="20"/>
              </w:rPr>
              <w:t>266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588"/>
              <w:jc w:val="left"/>
              <w:rPr>
                <w:b/>
                <w:sz w:val="20"/>
              </w:rPr>
            </w:pPr>
            <w:r>
              <w:rPr>
                <w:b/>
                <w:w w:val="97"/>
                <w:sz w:val="20"/>
              </w:rPr>
              <w:t>1</w:t>
            </w:r>
          </w:p>
        </w:tc>
      </w:tr>
      <w:tr>
        <w:trPr>
          <w:trHeight w:val="460" w:hRule="atLeast"/>
        </w:trPr>
        <w:tc>
          <w:tcPr>
            <w:tcW w:w="3358" w:type="dxa"/>
          </w:tcPr>
          <w:p>
            <w:pPr>
              <w:pStyle w:val="TableParagraph"/>
              <w:spacing w:line="226" w:lineRule="exact" w:before="18"/>
              <w:ind w:left="913" w:right="783" w:hanging="123"/>
              <w:jc w:val="left"/>
              <w:rPr>
                <w:b/>
                <w:sz w:val="20"/>
              </w:rPr>
            </w:pPr>
            <w:r>
              <w:rPr>
                <w:b/>
                <w:sz w:val="20"/>
              </w:rPr>
              <w:t>Tedde Crownover, Parliamentarian</w:t>
            </w:r>
          </w:p>
        </w:tc>
        <w:tc>
          <w:tcPr>
            <w:tcW w:w="1891" w:type="dxa"/>
            <w:shd w:val="clear" w:color="auto" w:fill="FF0000"/>
          </w:tcPr>
          <w:p>
            <w:pPr>
              <w:pStyle w:val="TableParagraph"/>
              <w:spacing w:before="122"/>
              <w:ind w:left="148" w:right="158"/>
              <w:rPr>
                <w:b/>
                <w:sz w:val="20"/>
              </w:rPr>
            </w:pPr>
            <w:r>
              <w:rPr>
                <w:b/>
                <w:sz w:val="20"/>
              </w:rPr>
              <w:t>$276,350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2"/>
              <w:ind w:left="75" w:right="79"/>
              <w:rPr>
                <w:b/>
                <w:sz w:val="20"/>
              </w:rPr>
            </w:pPr>
            <w:r>
              <w:rPr>
                <w:b/>
                <w:sz w:val="20"/>
              </w:rPr>
              <w:t>$1,039</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515"/>
              <w:jc w:val="left"/>
              <w:rPr>
                <w:b/>
                <w:sz w:val="20"/>
              </w:rPr>
            </w:pPr>
            <w:r>
              <w:rPr>
                <w:b/>
                <w:sz w:val="20"/>
              </w:rPr>
              <w:t>James Shade. President</w:t>
            </w:r>
          </w:p>
        </w:tc>
        <w:tc>
          <w:tcPr>
            <w:tcW w:w="1891" w:type="dxa"/>
            <w:shd w:val="clear" w:color="auto" w:fill="FF0000"/>
          </w:tcPr>
          <w:p>
            <w:pPr>
              <w:pStyle w:val="TableParagraph"/>
              <w:spacing w:before="33"/>
              <w:ind w:left="148" w:right="158"/>
              <w:rPr>
                <w:b/>
                <w:sz w:val="20"/>
              </w:rPr>
            </w:pPr>
            <w:r>
              <w:rPr>
                <w:b/>
                <w:sz w:val="20"/>
              </w:rPr>
              <w:t>$225,000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80"/>
              <w:rPr>
                <w:b/>
                <w:sz w:val="20"/>
              </w:rPr>
            </w:pPr>
            <w:r>
              <w:rPr>
                <w:b/>
                <w:sz w:val="20"/>
              </w:rPr>
              <w:t>$846</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$501,350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34"/>
              <w:rPr>
                <w:b/>
                <w:sz w:val="20"/>
              </w:rPr>
            </w:pPr>
            <w:r>
              <w:rPr>
                <w:b/>
                <w:sz w:val="20"/>
              </w:rPr>
              <w:t>$1,885</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186"/>
              <w:jc w:val="left"/>
              <w:rPr>
                <w:b/>
                <w:sz w:val="20"/>
              </w:rPr>
            </w:pPr>
            <w:r>
              <w:rPr>
                <w:b/>
                <w:sz w:val="20"/>
              </w:rPr>
              <w:t>Desert Heights Charter Schools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right="484"/>
              <w:jc w:val="right"/>
              <w:rPr>
                <w:b/>
                <w:sz w:val="20"/>
              </w:rPr>
            </w:pPr>
            <w:r>
              <w:rPr>
                <w:b/>
                <w:sz w:val="20"/>
              </w:rPr>
              <w:t>752</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left="530"/>
              <w:jc w:val="left"/>
              <w:rPr>
                <w:b/>
                <w:sz w:val="20"/>
              </w:rPr>
            </w:pPr>
            <w:r>
              <w:rPr>
                <w:b/>
                <w:w w:val="97"/>
                <w:sz w:val="20"/>
              </w:rPr>
              <w:t>2</w:t>
            </w:r>
          </w:p>
        </w:tc>
      </w:tr>
      <w:tr>
        <w:trPr>
          <w:trHeight w:val="300" w:hRule="atLeast"/>
        </w:trPr>
        <w:tc>
          <w:tcPr>
            <w:tcW w:w="3358" w:type="dxa"/>
          </w:tcPr>
          <w:p>
            <w:pPr>
              <w:pStyle w:val="TableParagraph"/>
              <w:spacing w:before="35"/>
              <w:ind w:left="393"/>
              <w:jc w:val="left"/>
              <w:rPr>
                <w:b/>
                <w:sz w:val="20"/>
              </w:rPr>
            </w:pPr>
            <w:r>
              <w:rPr>
                <w:b/>
                <w:sz w:val="20"/>
              </w:rPr>
              <w:t>Mark Jiles, Superintendent</w:t>
            </w:r>
          </w:p>
        </w:tc>
        <w:tc>
          <w:tcPr>
            <w:tcW w:w="1891" w:type="dxa"/>
          </w:tcPr>
          <w:p>
            <w:pPr>
              <w:pStyle w:val="TableParagraph"/>
              <w:spacing w:before="35"/>
              <w:ind w:left="148" w:right="158"/>
              <w:rPr>
                <w:b/>
                <w:sz w:val="20"/>
              </w:rPr>
            </w:pPr>
            <w:r>
              <w:rPr>
                <w:b/>
                <w:sz w:val="20"/>
              </w:rPr>
              <w:t>$115,093</w:t>
            </w:r>
          </w:p>
        </w:tc>
        <w:tc>
          <w:tcPr>
            <w:tcW w:w="1260" w:type="dxa"/>
          </w:tcPr>
          <w:p>
            <w:pPr>
              <w:pStyle w:val="TableParagraph"/>
              <w:jc w:val="left"/>
              <w:rPr>
                <w:rFonts w:ascii="Times New Roman"/>
                <w:sz w:val="18"/>
              </w:rPr>
            </w:pPr>
          </w:p>
        </w:tc>
        <w:tc>
          <w:tcPr>
            <w:tcW w:w="1620" w:type="dxa"/>
          </w:tcPr>
          <w:p>
            <w:pPr>
              <w:pStyle w:val="TableParagraph"/>
              <w:spacing w:before="35"/>
              <w:ind w:left="75" w:right="80"/>
              <w:rPr>
                <w:b/>
                <w:sz w:val="20"/>
              </w:rPr>
            </w:pPr>
            <w:r>
              <w:rPr>
                <w:b/>
                <w:sz w:val="20"/>
              </w:rPr>
              <w:t>$153</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33"/>
              <w:ind w:left="954"/>
              <w:jc w:val="left"/>
              <w:rPr>
                <w:b/>
                <w:sz w:val="20"/>
              </w:rPr>
            </w:pPr>
            <w:r>
              <w:rPr>
                <w:b/>
                <w:sz w:val="20"/>
              </w:rPr>
              <w:t>EAGLE Arizona</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33"/>
              <w:ind w:right="429"/>
              <w:jc w:val="right"/>
              <w:rPr>
                <w:b/>
                <w:sz w:val="20"/>
              </w:rPr>
            </w:pPr>
            <w:r>
              <w:rPr>
                <w:b/>
                <w:sz w:val="20"/>
              </w:rPr>
              <w:t>1058</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33"/>
              <w:ind w:left="585"/>
              <w:jc w:val="left"/>
              <w:rPr>
                <w:b/>
                <w:sz w:val="20"/>
              </w:rPr>
            </w:pPr>
            <w:r>
              <w:rPr>
                <w:b/>
                <w:w w:val="97"/>
                <w:sz w:val="20"/>
              </w:rPr>
              <w:t>4</w:t>
            </w:r>
          </w:p>
        </w:tc>
      </w:tr>
      <w:tr>
        <w:trPr>
          <w:trHeight w:val="320" w:hRule="atLeast"/>
        </w:trPr>
        <w:tc>
          <w:tcPr>
            <w:tcW w:w="3358" w:type="dxa"/>
          </w:tcPr>
          <w:p>
            <w:pPr>
              <w:pStyle w:val="TableParagraph"/>
              <w:spacing w:before="47"/>
              <w:ind w:left="304"/>
              <w:jc w:val="left"/>
              <w:rPr>
                <w:b/>
                <w:sz w:val="20"/>
              </w:rPr>
            </w:pPr>
            <w:r>
              <w:rPr>
                <w:b/>
                <w:sz w:val="20"/>
              </w:rPr>
              <w:t>Andrew Neumann, President</w:t>
            </w:r>
          </w:p>
        </w:tc>
        <w:tc>
          <w:tcPr>
            <w:tcW w:w="1891" w:type="dxa"/>
            <w:shd w:val="clear" w:color="auto" w:fill="FF0000"/>
          </w:tcPr>
          <w:p>
            <w:pPr>
              <w:pStyle w:val="TableParagraph"/>
              <w:spacing w:before="47"/>
              <w:ind w:left="148" w:right="158"/>
              <w:rPr>
                <w:b/>
                <w:sz w:val="20"/>
              </w:rPr>
            </w:pPr>
            <w:r>
              <w:rPr>
                <w:b/>
                <w:sz w:val="20"/>
              </w:rPr>
              <w:t>$159,173</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47"/>
              <w:ind w:left="75" w:right="80"/>
              <w:rPr>
                <w:b/>
                <w:sz w:val="20"/>
              </w:rPr>
            </w:pPr>
            <w:r>
              <w:rPr>
                <w:b/>
                <w:sz w:val="20"/>
              </w:rPr>
              <w:t>$150</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565"/>
              <w:jc w:val="left"/>
              <w:rPr>
                <w:b/>
                <w:sz w:val="20"/>
              </w:rPr>
            </w:pPr>
            <w:r>
              <w:rPr>
                <w:b/>
                <w:sz w:val="20"/>
              </w:rPr>
              <w:t>Duncan McCrann, CAO</w:t>
            </w:r>
          </w:p>
        </w:tc>
        <w:tc>
          <w:tcPr>
            <w:tcW w:w="1891" w:type="dxa"/>
            <w:shd w:val="clear" w:color="auto" w:fill="FF0000"/>
          </w:tcPr>
          <w:p>
            <w:pPr>
              <w:pStyle w:val="TableParagraph"/>
              <w:spacing w:before="33"/>
              <w:ind w:left="148" w:right="158"/>
              <w:rPr>
                <w:b/>
                <w:sz w:val="20"/>
              </w:rPr>
            </w:pPr>
            <w:r>
              <w:rPr>
                <w:b/>
                <w:sz w:val="20"/>
              </w:rPr>
              <w:t>$152,357</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80"/>
              <w:rPr>
                <w:b/>
                <w:sz w:val="20"/>
              </w:rPr>
            </w:pPr>
            <w:r>
              <w:rPr>
                <w:b/>
                <w:sz w:val="20"/>
              </w:rPr>
              <w:t>$144</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8" w:lineRule="exact"/>
              <w:ind w:left="337" w:right="324" w:firstLine="559"/>
              <w:jc w:val="left"/>
              <w:rPr>
                <w:b/>
                <w:sz w:val="20"/>
              </w:rPr>
            </w:pPr>
            <w:r>
              <w:rPr>
                <w:b/>
                <w:sz w:val="20"/>
              </w:rPr>
              <w:t>Jamie Luehring, Regional Executive Director</w:t>
            </w:r>
          </w:p>
        </w:tc>
        <w:tc>
          <w:tcPr>
            <w:tcW w:w="1891" w:type="dxa"/>
            <w:shd w:val="clear" w:color="auto" w:fill="FF0000"/>
          </w:tcPr>
          <w:p>
            <w:pPr>
              <w:pStyle w:val="TableParagraph"/>
              <w:spacing w:before="107"/>
              <w:ind w:left="148" w:right="158"/>
              <w:rPr>
                <w:b/>
                <w:sz w:val="20"/>
              </w:rPr>
            </w:pPr>
            <w:r>
              <w:rPr>
                <w:b/>
                <w:sz w:val="20"/>
              </w:rPr>
              <w:t>$121,059</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07"/>
              <w:ind w:left="75" w:right="80"/>
              <w:rPr>
                <w:b/>
                <w:sz w:val="20"/>
              </w:rPr>
            </w:pPr>
            <w:r>
              <w:rPr>
                <w:b/>
                <w:sz w:val="20"/>
              </w:rPr>
              <w:t>$114</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0"/>
              <w:ind w:left="520"/>
              <w:jc w:val="left"/>
              <w:rPr>
                <w:b/>
                <w:sz w:val="20"/>
              </w:rPr>
            </w:pPr>
            <w:r>
              <w:rPr>
                <w:b/>
                <w:sz w:val="20"/>
              </w:rPr>
              <w:t>Glenn Kieckhaefer, CFO</w:t>
            </w:r>
          </w:p>
        </w:tc>
        <w:tc>
          <w:tcPr>
            <w:tcW w:w="1891" w:type="dxa"/>
            <w:shd w:val="clear" w:color="auto" w:fill="FF0000"/>
          </w:tcPr>
          <w:p>
            <w:pPr>
              <w:pStyle w:val="TableParagraph"/>
              <w:spacing w:before="30"/>
              <w:ind w:left="148" w:right="158"/>
              <w:rPr>
                <w:b/>
                <w:sz w:val="20"/>
              </w:rPr>
            </w:pPr>
            <w:r>
              <w:rPr>
                <w:b/>
                <w:sz w:val="20"/>
              </w:rPr>
              <w:t>$137,570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0"/>
              <w:ind w:left="75" w:right="80"/>
              <w:rPr>
                <w:b/>
                <w:sz w:val="20"/>
              </w:rPr>
            </w:pPr>
            <w:r>
              <w:rPr>
                <w:b/>
                <w:sz w:val="20"/>
              </w:rPr>
              <w:t>$130</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3" w:lineRule="auto" w:before="10"/>
              <w:ind w:left="755" w:right="697" w:hanging="46"/>
              <w:jc w:val="left"/>
              <w:rPr>
                <w:b/>
                <w:sz w:val="20"/>
              </w:rPr>
            </w:pPr>
            <w:r>
              <w:rPr>
                <w:b/>
                <w:sz w:val="20"/>
              </w:rPr>
              <w:t>Jeffrey Craig Meyer, VP of Development</w:t>
            </w:r>
          </w:p>
        </w:tc>
        <w:tc>
          <w:tcPr>
            <w:tcW w:w="1891" w:type="dxa"/>
            <w:shd w:val="clear" w:color="auto" w:fill="FF0000"/>
          </w:tcPr>
          <w:p>
            <w:pPr>
              <w:pStyle w:val="TableParagraph"/>
              <w:spacing w:before="107"/>
              <w:ind w:left="148" w:right="158"/>
              <w:rPr>
                <w:b/>
                <w:sz w:val="20"/>
              </w:rPr>
            </w:pPr>
            <w:r>
              <w:rPr>
                <w:b/>
                <w:sz w:val="20"/>
              </w:rPr>
              <w:t>$113,789</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07"/>
              <w:ind w:left="75" w:right="80"/>
              <w:rPr>
                <w:b/>
                <w:sz w:val="20"/>
              </w:rPr>
            </w:pPr>
            <w:r>
              <w:rPr>
                <w:b/>
                <w:sz w:val="20"/>
              </w:rPr>
              <w:t>$108</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26"/>
              <w:jc w:val="left"/>
              <w:rPr>
                <w:b/>
                <w:sz w:val="20"/>
              </w:rPr>
            </w:pPr>
            <w:r>
              <w:rPr>
                <w:b/>
                <w:sz w:val="20"/>
              </w:rPr>
              <w:t>Administrative Sum</w:t>
            </w:r>
          </w:p>
        </w:tc>
        <w:tc>
          <w:tcPr>
            <w:tcW w:w="1891" w:type="dxa"/>
            <w:shd w:val="clear" w:color="auto" w:fill="FF0000"/>
          </w:tcPr>
          <w:p>
            <w:pPr>
              <w:pStyle w:val="TableParagraph"/>
              <w:spacing w:before="35"/>
              <w:ind w:left="148" w:right="158"/>
              <w:rPr>
                <w:b/>
                <w:sz w:val="20"/>
              </w:rPr>
            </w:pPr>
            <w:r>
              <w:rPr>
                <w:b/>
                <w:sz w:val="20"/>
              </w:rPr>
              <w:t>$683,948</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5"/>
              <w:ind w:left="75" w:right="80"/>
              <w:rPr>
                <w:b/>
                <w:sz w:val="20"/>
              </w:rPr>
            </w:pPr>
            <w:r>
              <w:rPr>
                <w:b/>
                <w:sz w:val="20"/>
              </w:rPr>
              <w:t>$646</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160"/>
              <w:jc w:val="left"/>
              <w:rPr>
                <w:b/>
                <w:sz w:val="20"/>
              </w:rPr>
            </w:pPr>
            <w:r>
              <w:rPr>
                <w:b/>
                <w:sz w:val="20"/>
              </w:rPr>
              <w:t>Precision Academy System,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right="484"/>
              <w:jc w:val="right"/>
              <w:rPr>
                <w:b/>
                <w:sz w:val="20"/>
              </w:rPr>
            </w:pPr>
            <w:r>
              <w:rPr>
                <w:b/>
                <w:sz w:val="20"/>
              </w:rPr>
              <w:t>90</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left="530"/>
              <w:jc w:val="left"/>
              <w:rPr>
                <w:b/>
                <w:sz w:val="20"/>
              </w:rPr>
            </w:pPr>
            <w:r>
              <w:rPr>
                <w:b/>
                <w:w w:val="97"/>
                <w:sz w:val="20"/>
              </w:rPr>
              <w:t>1</w:t>
            </w:r>
          </w:p>
        </w:tc>
      </w:tr>
      <w:tr>
        <w:trPr>
          <w:trHeight w:val="480" w:hRule="atLeast"/>
        </w:trPr>
        <w:tc>
          <w:tcPr>
            <w:tcW w:w="3358" w:type="dxa"/>
          </w:tcPr>
          <w:p>
            <w:pPr>
              <w:pStyle w:val="TableParagraph"/>
              <w:spacing w:line="230" w:lineRule="atLeast" w:before="6"/>
              <w:ind w:left="1281" w:right="316" w:hanging="958"/>
              <w:jc w:val="left"/>
              <w:rPr>
                <w:b/>
                <w:sz w:val="20"/>
              </w:rPr>
            </w:pPr>
            <w:r>
              <w:rPr>
                <w:b/>
                <w:sz w:val="20"/>
              </w:rPr>
              <w:t>Danielle Martinez, Executive Director</w:t>
            </w:r>
          </w:p>
        </w:tc>
        <w:tc>
          <w:tcPr>
            <w:tcW w:w="1891" w:type="dxa"/>
            <w:shd w:val="clear" w:color="auto" w:fill="FF0000"/>
          </w:tcPr>
          <w:p>
            <w:pPr>
              <w:pStyle w:val="TableParagraph"/>
              <w:spacing w:before="119"/>
              <w:ind w:left="148" w:right="158"/>
              <w:rPr>
                <w:b/>
                <w:sz w:val="20"/>
              </w:rPr>
            </w:pPr>
            <w:r>
              <w:rPr>
                <w:b/>
                <w:sz w:val="20"/>
              </w:rPr>
              <w:t>$207,728</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19"/>
              <w:ind w:left="75" w:right="79"/>
              <w:rPr>
                <w:b/>
                <w:sz w:val="20"/>
              </w:rPr>
            </w:pPr>
            <w:r>
              <w:rPr>
                <w:b/>
                <w:sz w:val="20"/>
              </w:rPr>
              <w:t>$2,308</w:t>
            </w:r>
          </w:p>
        </w:tc>
        <w:tc>
          <w:tcPr>
            <w:tcW w:w="1261" w:type="dxa"/>
          </w:tcPr>
          <w:p>
            <w:pPr>
              <w:pStyle w:val="TableParagraph"/>
              <w:jc w:val="left"/>
              <w:rPr>
                <w:rFonts w:ascii="Times New Roman"/>
                <w:sz w:val="18"/>
              </w:rPr>
            </w:pPr>
          </w:p>
        </w:tc>
      </w:tr>
      <w:tr>
        <w:trPr>
          <w:trHeight w:val="900" w:hRule="atLeast"/>
        </w:trPr>
        <w:tc>
          <w:tcPr>
            <w:tcW w:w="3358" w:type="dxa"/>
            <w:shd w:val="clear" w:color="auto" w:fill="C0C0C0"/>
          </w:tcPr>
          <w:p>
            <w:pPr>
              <w:pStyle w:val="TableParagraph"/>
              <w:spacing w:before="7"/>
              <w:jc w:val="left"/>
              <w:rPr>
                <w:rFonts w:ascii="Times New Roman"/>
                <w:sz w:val="27"/>
              </w:rPr>
            </w:pPr>
          </w:p>
          <w:p>
            <w:pPr>
              <w:pStyle w:val="TableParagraph"/>
              <w:spacing w:before="1"/>
              <w:ind w:left="282"/>
              <w:jc w:val="left"/>
              <w:rPr>
                <w:b/>
                <w:sz w:val="20"/>
              </w:rPr>
            </w:pPr>
            <w:r>
              <w:rPr>
                <w:b/>
                <w:sz w:val="20"/>
              </w:rPr>
              <w:t>Employ-Ability Unlimited, Inc.</w:t>
            </w:r>
          </w:p>
        </w:tc>
        <w:tc>
          <w:tcPr>
            <w:tcW w:w="1891" w:type="dxa"/>
            <w:shd w:val="clear" w:color="auto" w:fill="C0C0C0"/>
          </w:tcPr>
          <w:p>
            <w:pPr>
              <w:pStyle w:val="TableParagraph"/>
              <w:spacing w:line="215" w:lineRule="exact"/>
              <w:ind w:left="150" w:right="158"/>
              <w:rPr>
                <w:b/>
                <w:sz w:val="20"/>
              </w:rPr>
            </w:pPr>
            <w:r>
              <w:rPr>
                <w:b/>
                <w:sz w:val="20"/>
              </w:rPr>
              <w:t>Corporate Level</w:t>
            </w:r>
          </w:p>
          <w:p>
            <w:pPr>
              <w:pStyle w:val="TableParagraph"/>
              <w:ind w:left="148" w:right="158"/>
              <w:rPr>
                <w:b/>
                <w:sz w:val="20"/>
              </w:rPr>
            </w:pPr>
            <w:r>
              <w:rPr>
                <w:b/>
                <w:sz w:val="20"/>
              </w:rPr>
              <w:t>Salaries,</w:t>
            </w:r>
          </w:p>
          <w:p>
            <w:pPr>
              <w:pStyle w:val="TableParagraph"/>
              <w:spacing w:line="230" w:lineRule="atLeast"/>
              <w:ind w:left="225" w:right="236" w:hanging="1"/>
              <w:rPr>
                <w:b/>
                <w:sz w:val="20"/>
              </w:rPr>
            </w:pPr>
            <w:r>
              <w:rPr>
                <w:b/>
                <w:sz w:val="20"/>
              </w:rPr>
              <w:t>Company is in Multiple</w:t>
            </w:r>
            <w:r>
              <w:rPr>
                <w:b/>
                <w:spacing w:val="-7"/>
                <w:sz w:val="20"/>
              </w:rPr>
              <w:t> </w:t>
            </w:r>
            <w:r>
              <w:rPr>
                <w:b/>
                <w:sz w:val="20"/>
              </w:rPr>
              <w:t>States</w:t>
            </w:r>
          </w:p>
        </w:tc>
        <w:tc>
          <w:tcPr>
            <w:tcW w:w="1260" w:type="dxa"/>
            <w:shd w:val="clear" w:color="auto" w:fill="C0C0C0"/>
          </w:tcPr>
          <w:p>
            <w:pPr>
              <w:pStyle w:val="TableParagraph"/>
              <w:spacing w:before="7"/>
              <w:jc w:val="left"/>
              <w:rPr>
                <w:rFonts w:ascii="Times New Roman"/>
                <w:sz w:val="27"/>
              </w:rPr>
            </w:pPr>
          </w:p>
          <w:p>
            <w:pPr>
              <w:pStyle w:val="TableParagraph"/>
              <w:spacing w:before="1"/>
              <w:ind w:right="484"/>
              <w:jc w:val="right"/>
              <w:rPr>
                <w:b/>
                <w:sz w:val="20"/>
              </w:rPr>
            </w:pPr>
            <w:r>
              <w:rPr>
                <w:b/>
                <w:sz w:val="20"/>
              </w:rPr>
              <w:t>240</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7"/>
              <w:jc w:val="left"/>
              <w:rPr>
                <w:rFonts w:ascii="Times New Roman"/>
                <w:sz w:val="27"/>
              </w:rPr>
            </w:pPr>
          </w:p>
          <w:p>
            <w:pPr>
              <w:pStyle w:val="TableParagraph"/>
              <w:spacing w:before="1"/>
              <w:ind w:left="530"/>
              <w:jc w:val="left"/>
              <w:rPr>
                <w:b/>
                <w:sz w:val="20"/>
              </w:rPr>
            </w:pPr>
            <w:r>
              <w:rPr>
                <w:b/>
                <w:w w:val="97"/>
                <w:sz w:val="20"/>
              </w:rPr>
              <w:t>2</w:t>
            </w:r>
          </w:p>
        </w:tc>
      </w:tr>
      <w:tr>
        <w:trPr>
          <w:trHeight w:val="440" w:hRule="atLeast"/>
        </w:trPr>
        <w:tc>
          <w:tcPr>
            <w:tcW w:w="3358" w:type="dxa"/>
          </w:tcPr>
          <w:p>
            <w:pPr>
              <w:pStyle w:val="TableParagraph"/>
              <w:spacing w:line="223" w:lineRule="auto" w:before="8"/>
              <w:ind w:left="589" w:right="389" w:firstLine="448"/>
              <w:jc w:val="left"/>
              <w:rPr>
                <w:b/>
                <w:sz w:val="20"/>
              </w:rPr>
            </w:pPr>
            <w:r>
              <w:rPr>
                <w:b/>
                <w:sz w:val="20"/>
              </w:rPr>
              <w:t>Patrick Kelly, Director and President</w:t>
            </w:r>
          </w:p>
        </w:tc>
        <w:tc>
          <w:tcPr>
            <w:tcW w:w="1891" w:type="dxa"/>
          </w:tcPr>
          <w:p>
            <w:pPr>
              <w:pStyle w:val="TableParagraph"/>
              <w:spacing w:before="104"/>
              <w:ind w:left="148" w:right="158"/>
              <w:rPr>
                <w:b/>
                <w:sz w:val="20"/>
              </w:rPr>
            </w:pPr>
            <w:r>
              <w:rPr>
                <w:b/>
                <w:sz w:val="20"/>
              </w:rPr>
              <w:t>$914,161</w:t>
            </w:r>
          </w:p>
        </w:tc>
        <w:tc>
          <w:tcPr>
            <w:tcW w:w="1260" w:type="dxa"/>
          </w:tcPr>
          <w:p>
            <w:pPr>
              <w:pStyle w:val="TableParagraph"/>
              <w:jc w:val="left"/>
              <w:rPr>
                <w:rFonts w:ascii="Times New Roman"/>
                <w:sz w:val="18"/>
              </w:rPr>
            </w:pPr>
          </w:p>
        </w:tc>
        <w:tc>
          <w:tcPr>
            <w:tcW w:w="1620" w:type="dxa"/>
          </w:tcPr>
          <w:p>
            <w:pPr>
              <w:pStyle w:val="TableParagraph"/>
              <w:spacing w:before="104"/>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820" w:hRule="atLeast"/>
        </w:trPr>
        <w:tc>
          <w:tcPr>
            <w:tcW w:w="3358" w:type="dxa"/>
          </w:tcPr>
          <w:p>
            <w:pPr>
              <w:pStyle w:val="TableParagraph"/>
              <w:spacing w:before="2"/>
              <w:jc w:val="left"/>
              <w:rPr>
                <w:rFonts w:ascii="Times New Roman"/>
                <w:sz w:val="25"/>
              </w:rPr>
            </w:pPr>
          </w:p>
          <w:p>
            <w:pPr>
              <w:pStyle w:val="TableParagraph"/>
              <w:ind w:left="486"/>
              <w:jc w:val="left"/>
              <w:rPr>
                <w:b/>
                <w:sz w:val="20"/>
              </w:rPr>
            </w:pPr>
            <w:r>
              <w:rPr>
                <w:b/>
                <w:sz w:val="20"/>
              </w:rPr>
              <w:t>Dennis Roberts, Director</w:t>
            </w:r>
          </w:p>
        </w:tc>
        <w:tc>
          <w:tcPr>
            <w:tcW w:w="1891" w:type="dxa"/>
          </w:tcPr>
          <w:p>
            <w:pPr>
              <w:pStyle w:val="TableParagraph"/>
              <w:spacing w:before="2"/>
              <w:jc w:val="left"/>
              <w:rPr>
                <w:rFonts w:ascii="Times New Roman"/>
                <w:sz w:val="25"/>
              </w:rPr>
            </w:pPr>
          </w:p>
          <w:p>
            <w:pPr>
              <w:pStyle w:val="TableParagraph"/>
              <w:ind w:left="148" w:right="158"/>
              <w:rPr>
                <w:b/>
                <w:sz w:val="20"/>
              </w:rPr>
            </w:pPr>
            <w:r>
              <w:rPr>
                <w:b/>
                <w:sz w:val="20"/>
              </w:rPr>
              <w:t>$200,849</w:t>
            </w:r>
          </w:p>
        </w:tc>
        <w:tc>
          <w:tcPr>
            <w:tcW w:w="1260" w:type="dxa"/>
          </w:tcPr>
          <w:p>
            <w:pPr>
              <w:pStyle w:val="TableParagraph"/>
              <w:jc w:val="left"/>
              <w:rPr>
                <w:rFonts w:ascii="Times New Roman"/>
                <w:sz w:val="18"/>
              </w:rPr>
            </w:pPr>
          </w:p>
        </w:tc>
        <w:tc>
          <w:tcPr>
            <w:tcW w:w="1620" w:type="dxa"/>
          </w:tcPr>
          <w:p>
            <w:pPr>
              <w:pStyle w:val="TableParagraph"/>
              <w:spacing w:before="2"/>
              <w:jc w:val="left"/>
              <w:rPr>
                <w:rFonts w:ascii="Times New Roman"/>
                <w:sz w:val="25"/>
              </w:rPr>
            </w:pPr>
          </w:p>
          <w:p>
            <w:pPr>
              <w:pStyle w:val="TableParagraph"/>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4" w:lineRule="exact"/>
              <w:ind w:left="1036"/>
              <w:jc w:val="left"/>
              <w:rPr>
                <w:b/>
                <w:sz w:val="20"/>
              </w:rPr>
            </w:pPr>
            <w:r>
              <w:rPr>
                <w:b/>
                <w:sz w:val="20"/>
              </w:rPr>
              <w:t>Steven Reed,</w:t>
            </w:r>
          </w:p>
          <w:p>
            <w:pPr>
              <w:pStyle w:val="TableParagraph"/>
              <w:spacing w:line="215" w:lineRule="exact"/>
              <w:ind w:left="453"/>
              <w:jc w:val="left"/>
              <w:rPr>
                <w:b/>
                <w:sz w:val="20"/>
              </w:rPr>
            </w:pPr>
            <w:r>
              <w:rPr>
                <w:b/>
                <w:sz w:val="20"/>
              </w:rPr>
              <w:t>Secretary 4/16/13 forward</w:t>
            </w:r>
          </w:p>
        </w:tc>
        <w:tc>
          <w:tcPr>
            <w:tcW w:w="1891" w:type="dxa"/>
          </w:tcPr>
          <w:p>
            <w:pPr>
              <w:pStyle w:val="TableParagraph"/>
              <w:spacing w:before="107"/>
              <w:ind w:left="148" w:right="158"/>
              <w:rPr>
                <w:b/>
                <w:sz w:val="20"/>
              </w:rPr>
            </w:pPr>
            <w:r>
              <w:rPr>
                <w:b/>
                <w:sz w:val="20"/>
              </w:rPr>
              <w:t>$148,139</w:t>
            </w:r>
          </w:p>
        </w:tc>
        <w:tc>
          <w:tcPr>
            <w:tcW w:w="1260" w:type="dxa"/>
          </w:tcPr>
          <w:p>
            <w:pPr>
              <w:pStyle w:val="TableParagraph"/>
              <w:jc w:val="left"/>
              <w:rPr>
                <w:rFonts w:ascii="Times New Roman"/>
                <w:sz w:val="18"/>
              </w:rPr>
            </w:pPr>
          </w:p>
        </w:tc>
        <w:tc>
          <w:tcPr>
            <w:tcW w:w="1620" w:type="dxa"/>
          </w:tcPr>
          <w:p>
            <w:pPr>
              <w:pStyle w:val="TableParagraph"/>
              <w:spacing w:before="107"/>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0"/>
              <w:ind w:left="549"/>
              <w:jc w:val="left"/>
              <w:rPr>
                <w:b/>
                <w:sz w:val="20"/>
              </w:rPr>
            </w:pPr>
            <w:r>
              <w:rPr>
                <w:b/>
                <w:sz w:val="20"/>
              </w:rPr>
              <w:t>Kevin Fisher, Treasurer</w:t>
            </w:r>
          </w:p>
        </w:tc>
        <w:tc>
          <w:tcPr>
            <w:tcW w:w="1891" w:type="dxa"/>
          </w:tcPr>
          <w:p>
            <w:pPr>
              <w:pStyle w:val="TableParagraph"/>
              <w:spacing w:before="30"/>
              <w:ind w:left="148" w:right="158"/>
              <w:rPr>
                <w:b/>
                <w:sz w:val="20"/>
              </w:rPr>
            </w:pPr>
            <w:r>
              <w:rPr>
                <w:b/>
                <w:sz w:val="20"/>
              </w:rPr>
              <w:t>$646,035</w:t>
            </w:r>
          </w:p>
        </w:tc>
        <w:tc>
          <w:tcPr>
            <w:tcW w:w="1260" w:type="dxa"/>
          </w:tcPr>
          <w:p>
            <w:pPr>
              <w:pStyle w:val="TableParagraph"/>
              <w:jc w:val="left"/>
              <w:rPr>
                <w:rFonts w:ascii="Times New Roman"/>
                <w:sz w:val="18"/>
              </w:rPr>
            </w:pPr>
          </w:p>
        </w:tc>
        <w:tc>
          <w:tcPr>
            <w:tcW w:w="1620" w:type="dxa"/>
          </w:tcPr>
          <w:p>
            <w:pPr>
              <w:pStyle w:val="TableParagraph"/>
              <w:spacing w:before="30"/>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420" w:hRule="atLeast"/>
        </w:trPr>
        <w:tc>
          <w:tcPr>
            <w:tcW w:w="3358" w:type="dxa"/>
          </w:tcPr>
          <w:p>
            <w:pPr>
              <w:pStyle w:val="TableParagraph"/>
              <w:spacing w:line="214" w:lineRule="exact" w:before="8"/>
              <w:ind w:left="359" w:right="347" w:firstLine="674"/>
              <w:jc w:val="left"/>
              <w:rPr>
                <w:b/>
                <w:sz w:val="20"/>
              </w:rPr>
            </w:pPr>
            <w:r>
              <w:rPr>
                <w:b/>
                <w:sz w:val="20"/>
              </w:rPr>
              <w:t>Robert Bond, Director and Vice President</w:t>
            </w:r>
          </w:p>
        </w:tc>
        <w:tc>
          <w:tcPr>
            <w:tcW w:w="1891" w:type="dxa"/>
          </w:tcPr>
          <w:p>
            <w:pPr>
              <w:pStyle w:val="TableParagraph"/>
              <w:spacing w:before="105"/>
              <w:ind w:left="148" w:right="158"/>
              <w:rPr>
                <w:b/>
                <w:sz w:val="20"/>
              </w:rPr>
            </w:pPr>
            <w:r>
              <w:rPr>
                <w:b/>
                <w:sz w:val="20"/>
              </w:rPr>
              <w:t>$167,566</w:t>
            </w:r>
          </w:p>
        </w:tc>
        <w:tc>
          <w:tcPr>
            <w:tcW w:w="1260" w:type="dxa"/>
          </w:tcPr>
          <w:p>
            <w:pPr>
              <w:pStyle w:val="TableParagraph"/>
              <w:jc w:val="left"/>
              <w:rPr>
                <w:rFonts w:ascii="Times New Roman"/>
                <w:sz w:val="18"/>
              </w:rPr>
            </w:pPr>
          </w:p>
        </w:tc>
        <w:tc>
          <w:tcPr>
            <w:tcW w:w="1620" w:type="dxa"/>
          </w:tcPr>
          <w:p>
            <w:pPr>
              <w:pStyle w:val="TableParagraph"/>
              <w:spacing w:before="105"/>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02"/>
              <w:jc w:val="left"/>
              <w:rPr>
                <w:b/>
                <w:sz w:val="20"/>
              </w:rPr>
            </w:pPr>
            <w:r>
              <w:rPr>
                <w:b/>
                <w:sz w:val="20"/>
              </w:rPr>
              <w:t>Secretary till 4/15/13</w:t>
            </w:r>
          </w:p>
        </w:tc>
        <w:tc>
          <w:tcPr>
            <w:tcW w:w="1891" w:type="dxa"/>
          </w:tcPr>
          <w:p>
            <w:pPr>
              <w:pStyle w:val="TableParagraph"/>
              <w:spacing w:before="35"/>
              <w:ind w:left="148" w:right="158"/>
              <w:rPr>
                <w:b/>
                <w:sz w:val="20"/>
              </w:rPr>
            </w:pPr>
            <w:r>
              <w:rPr>
                <w:b/>
                <w:sz w:val="20"/>
              </w:rPr>
              <w:t>$118,433</w:t>
            </w:r>
          </w:p>
        </w:tc>
        <w:tc>
          <w:tcPr>
            <w:tcW w:w="1260" w:type="dxa"/>
          </w:tcPr>
          <w:p>
            <w:pPr>
              <w:pStyle w:val="TableParagraph"/>
              <w:jc w:val="left"/>
              <w:rPr>
                <w:rFonts w:ascii="Times New Roman"/>
                <w:sz w:val="18"/>
              </w:rPr>
            </w:pPr>
          </w:p>
        </w:tc>
        <w:tc>
          <w:tcPr>
            <w:tcW w:w="1620" w:type="dxa"/>
          </w:tcPr>
          <w:p>
            <w:pPr>
              <w:pStyle w:val="TableParagraph"/>
              <w:spacing w:before="35"/>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33"/>
              <w:ind w:left="1098"/>
              <w:jc w:val="left"/>
              <w:rPr>
                <w:b/>
                <w:sz w:val="20"/>
              </w:rPr>
            </w:pPr>
            <w:r>
              <w:rPr>
                <w:b/>
                <w:sz w:val="20"/>
                <w:u w:val="thick"/>
              </w:rPr>
              <w:t>Fit Kids,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33"/>
              <w:ind w:right="484"/>
              <w:jc w:val="right"/>
              <w:rPr>
                <w:b/>
                <w:sz w:val="20"/>
              </w:rPr>
            </w:pPr>
            <w:r>
              <w:rPr>
                <w:b/>
                <w:sz w:val="20"/>
              </w:rPr>
              <w:t>573</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33"/>
              <w:ind w:left="530"/>
              <w:jc w:val="left"/>
              <w:rPr>
                <w:b/>
                <w:sz w:val="20"/>
              </w:rPr>
            </w:pPr>
            <w:r>
              <w:rPr>
                <w:b/>
                <w:w w:val="97"/>
                <w:sz w:val="20"/>
              </w:rPr>
              <w:t>3</w:t>
            </w:r>
          </w:p>
        </w:tc>
      </w:tr>
      <w:tr>
        <w:trPr>
          <w:trHeight w:val="320" w:hRule="atLeast"/>
        </w:trPr>
        <w:tc>
          <w:tcPr>
            <w:tcW w:w="3358" w:type="dxa"/>
          </w:tcPr>
          <w:p>
            <w:pPr>
              <w:pStyle w:val="TableParagraph"/>
              <w:spacing w:before="47"/>
              <w:ind w:left="402"/>
              <w:jc w:val="left"/>
              <w:rPr>
                <w:b/>
                <w:sz w:val="20"/>
              </w:rPr>
            </w:pPr>
            <w:r>
              <w:rPr>
                <w:b/>
                <w:sz w:val="20"/>
              </w:rPr>
              <w:t>Carolyn Sawyer, President</w:t>
            </w:r>
          </w:p>
        </w:tc>
        <w:tc>
          <w:tcPr>
            <w:tcW w:w="1891" w:type="dxa"/>
            <w:shd w:val="clear" w:color="auto" w:fill="FF0000"/>
          </w:tcPr>
          <w:p>
            <w:pPr>
              <w:pStyle w:val="TableParagraph"/>
              <w:spacing w:before="47"/>
              <w:ind w:left="148" w:right="158"/>
              <w:rPr>
                <w:b/>
                <w:sz w:val="20"/>
              </w:rPr>
            </w:pPr>
            <w:r>
              <w:rPr>
                <w:b/>
                <w:sz w:val="20"/>
              </w:rPr>
              <w:t>$167,880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47"/>
              <w:ind w:left="75" w:right="80"/>
              <w:rPr>
                <w:b/>
                <w:sz w:val="20"/>
              </w:rPr>
            </w:pPr>
            <w:r>
              <w:rPr>
                <w:b/>
                <w:sz w:val="20"/>
              </w:rPr>
              <w:t>$293</w:t>
            </w:r>
          </w:p>
        </w:tc>
        <w:tc>
          <w:tcPr>
            <w:tcW w:w="1261" w:type="dxa"/>
          </w:tcPr>
          <w:p>
            <w:pPr>
              <w:pStyle w:val="TableParagraph"/>
              <w:jc w:val="left"/>
              <w:rPr>
                <w:rFonts w:ascii="Times New Roman"/>
                <w:sz w:val="18"/>
              </w:rPr>
            </w:pPr>
          </w:p>
        </w:tc>
      </w:tr>
    </w:tbl>
    <w:p>
      <w:pPr>
        <w:spacing w:after="0"/>
        <w:jc w:val="left"/>
        <w:rPr>
          <w:rFonts w:ascii="Times New Roman"/>
          <w:sz w:val="18"/>
        </w:rPr>
        <w:sectPr>
          <w:footerReference w:type="default" r:id="rId37"/>
          <w:pgSz w:w="12240" w:h="15840"/>
          <w:pgMar w:footer="1002" w:header="740" w:top="940" w:bottom="1200" w:left="1300" w:right="1300"/>
        </w:sectPr>
      </w:pPr>
    </w:p>
    <w:p>
      <w:pPr>
        <w:pStyle w:val="BodyText"/>
        <w:rPr>
          <w:rFonts w:ascii="Times New Roman"/>
          <w:sz w:val="20"/>
        </w:rPr>
      </w:pPr>
    </w:p>
    <w:p>
      <w:pPr>
        <w:pStyle w:val="BodyText"/>
        <w:spacing w:before="2"/>
        <w:rPr>
          <w:rFonts w:ascii="Times New Roman"/>
          <w:sz w:val="22"/>
        </w:rPr>
      </w:pP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4"/>
              <w:ind w:left="954"/>
              <w:jc w:val="left"/>
              <w:rPr>
                <w:b/>
                <w:sz w:val="20"/>
              </w:rPr>
            </w:pPr>
            <w:r>
              <w:rPr>
                <w:b/>
                <w:sz w:val="20"/>
              </w:rPr>
              <w:t>Name and Title</w:t>
            </w:r>
          </w:p>
        </w:tc>
        <w:tc>
          <w:tcPr>
            <w:tcW w:w="1891" w:type="dxa"/>
            <w:tcBorders>
              <w:bottom w:val="nil"/>
            </w:tcBorders>
            <w:shd w:val="clear" w:color="auto" w:fill="D99493"/>
          </w:tcPr>
          <w:p>
            <w:pPr>
              <w:pStyle w:val="TableParagraph"/>
              <w:spacing w:before="26"/>
              <w:ind w:left="148" w:right="158"/>
              <w:rPr>
                <w:b/>
                <w:sz w:val="20"/>
              </w:rPr>
            </w:pPr>
            <w:r>
              <w:rPr>
                <w:b/>
                <w:sz w:val="20"/>
              </w:rPr>
              <w:t>Salary 990</w:t>
            </w:r>
          </w:p>
        </w:tc>
        <w:tc>
          <w:tcPr>
            <w:tcW w:w="1260" w:type="dxa"/>
            <w:vMerge w:val="restart"/>
            <w:shd w:val="clear" w:color="auto" w:fill="D99493"/>
          </w:tcPr>
          <w:p>
            <w:pPr>
              <w:pStyle w:val="TableParagraph"/>
              <w:spacing w:before="78"/>
              <w:ind w:left="477" w:right="294" w:hanging="173"/>
              <w:jc w:val="left"/>
              <w:rPr>
                <w:b/>
                <w:sz w:val="20"/>
              </w:rPr>
            </w:pPr>
            <w:r>
              <w:rPr>
                <w:b/>
                <w:sz w:val="20"/>
              </w:rPr>
              <w:t># ADM RP</w:t>
            </w:r>
          </w:p>
        </w:tc>
        <w:tc>
          <w:tcPr>
            <w:tcW w:w="1620" w:type="dxa"/>
            <w:vMerge w:val="restart"/>
            <w:shd w:val="clear" w:color="auto" w:fill="D99493"/>
          </w:tcPr>
          <w:p>
            <w:pPr>
              <w:pStyle w:val="TableParagraph"/>
              <w:spacing w:before="194"/>
              <w:ind w:left="119"/>
              <w:jc w:val="left"/>
              <w:rPr>
                <w:b/>
                <w:sz w:val="20"/>
              </w:rPr>
            </w:pPr>
            <w:r>
              <w:rPr>
                <w:b/>
                <w:sz w:val="20"/>
                <w:u w:val="thick"/>
              </w:rPr>
              <w:t>Cost per Pupil</w:t>
            </w:r>
          </w:p>
        </w:tc>
        <w:tc>
          <w:tcPr>
            <w:tcW w:w="1261" w:type="dxa"/>
            <w:vMerge w:val="restart"/>
            <w:shd w:val="clear" w:color="auto" w:fill="D99493"/>
          </w:tcPr>
          <w:p>
            <w:pPr>
              <w:pStyle w:val="TableParagraph"/>
              <w:spacing w:before="194"/>
              <w:ind w:left="295"/>
              <w:jc w:val="left"/>
              <w:rPr>
                <w:b/>
                <w:sz w:val="20"/>
              </w:rPr>
            </w:pPr>
            <w:r>
              <w:rPr>
                <w:b/>
                <w:sz w:val="20"/>
              </w:rPr>
              <w:t># Sites</w:t>
            </w:r>
          </w:p>
        </w:tc>
      </w:tr>
      <w:tr>
        <w:trPr>
          <w:trHeight w:val="30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2"/>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280" w:hRule="atLeast"/>
        </w:trPr>
        <w:tc>
          <w:tcPr>
            <w:tcW w:w="3358" w:type="dxa"/>
            <w:shd w:val="clear" w:color="auto" w:fill="C0C0C0"/>
          </w:tcPr>
          <w:p>
            <w:pPr>
              <w:pStyle w:val="TableParagraph"/>
              <w:spacing w:before="34"/>
              <w:ind w:left="801"/>
              <w:jc w:val="left"/>
              <w:rPr>
                <w:b/>
                <w:sz w:val="20"/>
              </w:rPr>
            </w:pPr>
            <w:r>
              <w:rPr>
                <w:b/>
                <w:sz w:val="20"/>
              </w:rPr>
              <w:t>Foothills Academy</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34"/>
              <w:ind w:right="429"/>
              <w:jc w:val="right"/>
              <w:rPr>
                <w:b/>
                <w:sz w:val="20"/>
              </w:rPr>
            </w:pPr>
            <w:r>
              <w:rPr>
                <w:b/>
                <w:sz w:val="20"/>
              </w:rPr>
              <w:t>314</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34"/>
              <w:ind w:right="64"/>
              <w:rPr>
                <w:b/>
                <w:sz w:val="20"/>
              </w:rPr>
            </w:pPr>
            <w:r>
              <w:rPr>
                <w:b/>
                <w:w w:val="97"/>
                <w:sz w:val="20"/>
              </w:rPr>
              <w:t>2</w:t>
            </w:r>
          </w:p>
        </w:tc>
      </w:tr>
      <w:tr>
        <w:trPr>
          <w:trHeight w:val="340" w:hRule="atLeast"/>
        </w:trPr>
        <w:tc>
          <w:tcPr>
            <w:tcW w:w="3358" w:type="dxa"/>
          </w:tcPr>
          <w:p>
            <w:pPr>
              <w:pStyle w:val="TableParagraph"/>
              <w:spacing w:before="47"/>
              <w:ind w:left="366"/>
              <w:jc w:val="left"/>
              <w:rPr>
                <w:b/>
                <w:sz w:val="20"/>
              </w:rPr>
            </w:pPr>
            <w:r>
              <w:rPr>
                <w:b/>
                <w:sz w:val="20"/>
              </w:rPr>
              <w:t>Donald Senneville, Director</w:t>
            </w:r>
          </w:p>
        </w:tc>
        <w:tc>
          <w:tcPr>
            <w:tcW w:w="1891" w:type="dxa"/>
            <w:shd w:val="clear" w:color="auto" w:fill="FF0000"/>
          </w:tcPr>
          <w:p>
            <w:pPr>
              <w:pStyle w:val="TableParagraph"/>
              <w:spacing w:before="47"/>
              <w:ind w:left="148" w:right="158"/>
              <w:rPr>
                <w:b/>
                <w:sz w:val="20"/>
              </w:rPr>
            </w:pPr>
            <w:r>
              <w:rPr>
                <w:b/>
                <w:sz w:val="20"/>
              </w:rPr>
              <w:t>$124,892</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47"/>
              <w:ind w:left="75" w:right="80"/>
              <w:rPr>
                <w:b/>
                <w:sz w:val="20"/>
              </w:rPr>
            </w:pPr>
            <w:r>
              <w:rPr>
                <w:b/>
                <w:sz w:val="20"/>
              </w:rPr>
              <w:t>$398</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664"/>
              <w:jc w:val="left"/>
              <w:rPr>
                <w:b/>
                <w:sz w:val="20"/>
              </w:rPr>
            </w:pPr>
            <w:r>
              <w:rPr>
                <w:b/>
                <w:sz w:val="20"/>
              </w:rPr>
              <w:t>Genesis Program,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143</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1</w:t>
            </w:r>
          </w:p>
        </w:tc>
      </w:tr>
      <w:tr>
        <w:trPr>
          <w:trHeight w:val="480" w:hRule="atLeast"/>
        </w:trPr>
        <w:tc>
          <w:tcPr>
            <w:tcW w:w="3358" w:type="dxa"/>
          </w:tcPr>
          <w:p>
            <w:pPr>
              <w:pStyle w:val="TableParagraph"/>
              <w:spacing w:line="230" w:lineRule="atLeast" w:before="6"/>
              <w:ind w:left="760" w:right="246" w:firstLine="148"/>
              <w:jc w:val="left"/>
              <w:rPr>
                <w:b/>
                <w:sz w:val="20"/>
              </w:rPr>
            </w:pPr>
            <w:r>
              <w:rPr>
                <w:b/>
                <w:sz w:val="20"/>
              </w:rPr>
              <w:t>Karen Callahan, President and CEO</w:t>
            </w:r>
          </w:p>
        </w:tc>
        <w:tc>
          <w:tcPr>
            <w:tcW w:w="1891" w:type="dxa"/>
            <w:shd w:val="clear" w:color="auto" w:fill="FF0000"/>
          </w:tcPr>
          <w:p>
            <w:pPr>
              <w:pStyle w:val="TableParagraph"/>
              <w:spacing w:before="119"/>
              <w:ind w:left="148" w:right="158"/>
              <w:rPr>
                <w:b/>
                <w:sz w:val="20"/>
              </w:rPr>
            </w:pPr>
            <w:r>
              <w:rPr>
                <w:b/>
                <w:sz w:val="20"/>
              </w:rPr>
              <w:t>$133,331</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19"/>
              <w:ind w:left="75" w:right="80"/>
              <w:rPr>
                <w:b/>
                <w:sz w:val="20"/>
              </w:rPr>
            </w:pPr>
            <w:r>
              <w:rPr>
                <w:b/>
                <w:sz w:val="20"/>
              </w:rPr>
              <w:t>$932</w:t>
            </w:r>
          </w:p>
        </w:tc>
        <w:tc>
          <w:tcPr>
            <w:tcW w:w="1261" w:type="dxa"/>
          </w:tcPr>
          <w:p>
            <w:pPr>
              <w:pStyle w:val="TableParagraph"/>
              <w:jc w:val="left"/>
              <w:rPr>
                <w:rFonts w:ascii="Times New Roman"/>
                <w:sz w:val="18"/>
              </w:rPr>
            </w:pPr>
          </w:p>
        </w:tc>
      </w:tr>
      <w:tr>
        <w:trPr>
          <w:trHeight w:val="400" w:hRule="atLeast"/>
        </w:trPr>
        <w:tc>
          <w:tcPr>
            <w:tcW w:w="3358" w:type="dxa"/>
            <w:shd w:val="clear" w:color="auto" w:fill="C0C0C0"/>
          </w:tcPr>
          <w:p>
            <w:pPr>
              <w:pStyle w:val="TableParagraph"/>
              <w:spacing w:line="198" w:lineRule="exact"/>
              <w:ind w:left="347" w:hanging="72"/>
              <w:jc w:val="left"/>
              <w:rPr>
                <w:b/>
                <w:sz w:val="20"/>
              </w:rPr>
            </w:pPr>
            <w:r>
              <w:rPr>
                <w:b/>
                <w:sz w:val="20"/>
              </w:rPr>
              <w:t>George Gervin Prep Academy</w:t>
            </w:r>
          </w:p>
          <w:p>
            <w:pPr>
              <w:pStyle w:val="TableParagraph"/>
              <w:spacing w:line="201" w:lineRule="exact"/>
              <w:ind w:left="347"/>
              <w:jc w:val="left"/>
              <w:rPr>
                <w:b/>
                <w:sz w:val="20"/>
              </w:rPr>
            </w:pPr>
            <w:r>
              <w:rPr>
                <w:b/>
                <w:sz w:val="20"/>
              </w:rPr>
              <w:t>Also operates Youth Center</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right="484"/>
              <w:jc w:val="right"/>
              <w:rPr>
                <w:b/>
                <w:sz w:val="20"/>
              </w:rPr>
            </w:pPr>
            <w:r>
              <w:rPr>
                <w:b/>
                <w:sz w:val="20"/>
              </w:rPr>
              <w:t>90</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left="43"/>
              <w:rPr>
                <w:b/>
                <w:sz w:val="20"/>
              </w:rPr>
            </w:pPr>
            <w:r>
              <w:rPr>
                <w:b/>
                <w:w w:val="97"/>
                <w:sz w:val="20"/>
              </w:rPr>
              <w:t>1</w:t>
            </w:r>
          </w:p>
        </w:tc>
      </w:tr>
      <w:tr>
        <w:trPr>
          <w:trHeight w:val="460" w:hRule="atLeast"/>
        </w:trPr>
        <w:tc>
          <w:tcPr>
            <w:tcW w:w="3358" w:type="dxa"/>
          </w:tcPr>
          <w:p>
            <w:pPr>
              <w:pStyle w:val="TableParagraph"/>
              <w:spacing w:line="230" w:lineRule="atLeast" w:before="6"/>
              <w:ind w:left="1281" w:right="322" w:hanging="953"/>
              <w:jc w:val="left"/>
              <w:rPr>
                <w:b/>
                <w:sz w:val="20"/>
              </w:rPr>
            </w:pPr>
            <w:r>
              <w:rPr>
                <w:b/>
                <w:sz w:val="20"/>
              </w:rPr>
              <w:t>Barbara Hawkins, Executive Director</w:t>
            </w:r>
          </w:p>
        </w:tc>
        <w:tc>
          <w:tcPr>
            <w:tcW w:w="1891" w:type="dxa"/>
            <w:shd w:val="clear" w:color="auto" w:fill="FF0000"/>
          </w:tcPr>
          <w:p>
            <w:pPr>
              <w:pStyle w:val="TableParagraph"/>
              <w:spacing w:before="119"/>
              <w:ind w:left="150" w:right="155"/>
              <w:rPr>
                <w:b/>
                <w:sz w:val="20"/>
              </w:rPr>
            </w:pPr>
            <w:r>
              <w:rPr>
                <w:b/>
                <w:sz w:val="20"/>
              </w:rPr>
              <w:t>$192,308</w:t>
            </w:r>
          </w:p>
        </w:tc>
        <w:tc>
          <w:tcPr>
            <w:tcW w:w="1260" w:type="dxa"/>
            <w:shd w:val="clear" w:color="auto" w:fill="FF0000"/>
          </w:tcPr>
          <w:p>
            <w:pPr>
              <w:pStyle w:val="TableParagraph"/>
              <w:spacing w:before="119"/>
              <w:ind w:right="509"/>
              <w:jc w:val="right"/>
              <w:rPr>
                <w:b/>
                <w:sz w:val="20"/>
              </w:rPr>
            </w:pPr>
            <w:r>
              <w:rPr>
                <w:b/>
                <w:w w:val="90"/>
                <w:sz w:val="20"/>
              </w:rPr>
              <w:t>RP</w:t>
            </w:r>
          </w:p>
        </w:tc>
        <w:tc>
          <w:tcPr>
            <w:tcW w:w="1620" w:type="dxa"/>
            <w:shd w:val="clear" w:color="auto" w:fill="FF0000"/>
          </w:tcPr>
          <w:p>
            <w:pPr>
              <w:pStyle w:val="TableParagraph"/>
              <w:spacing w:before="119"/>
              <w:ind w:left="75" w:right="79"/>
              <w:rPr>
                <w:b/>
                <w:sz w:val="20"/>
              </w:rPr>
            </w:pPr>
            <w:r>
              <w:rPr>
                <w:b/>
                <w:sz w:val="20"/>
              </w:rPr>
              <w:t>$2,137</w:t>
            </w:r>
          </w:p>
        </w:tc>
        <w:tc>
          <w:tcPr>
            <w:tcW w:w="1261" w:type="dxa"/>
          </w:tcPr>
          <w:p>
            <w:pPr>
              <w:pStyle w:val="TableParagraph"/>
              <w:spacing w:before="119"/>
              <w:ind w:right="7"/>
              <w:rPr>
                <w:b/>
                <w:sz w:val="20"/>
              </w:rPr>
            </w:pPr>
            <w:r>
              <w:rPr>
                <w:b/>
                <w:w w:val="97"/>
                <w:sz w:val="20"/>
              </w:rPr>
              <w:t>1</w:t>
            </w:r>
          </w:p>
        </w:tc>
      </w:tr>
      <w:tr>
        <w:trPr>
          <w:trHeight w:val="460" w:hRule="atLeast"/>
        </w:trPr>
        <w:tc>
          <w:tcPr>
            <w:tcW w:w="3358" w:type="dxa"/>
          </w:tcPr>
          <w:p>
            <w:pPr>
              <w:pStyle w:val="TableParagraph"/>
              <w:spacing w:line="225" w:lineRule="auto" w:before="6"/>
              <w:ind w:left="894" w:right="879" w:firstLine="26"/>
              <w:jc w:val="left"/>
              <w:rPr>
                <w:b/>
                <w:sz w:val="20"/>
              </w:rPr>
            </w:pPr>
            <w:r>
              <w:rPr>
                <w:b/>
                <w:sz w:val="20"/>
              </w:rPr>
              <w:t>Frances Boyne, Principal Officer</w:t>
            </w:r>
          </w:p>
        </w:tc>
        <w:tc>
          <w:tcPr>
            <w:tcW w:w="1891" w:type="dxa"/>
            <w:shd w:val="clear" w:color="auto" w:fill="FF0000"/>
          </w:tcPr>
          <w:p>
            <w:pPr>
              <w:pStyle w:val="TableParagraph"/>
              <w:spacing w:before="105"/>
              <w:ind w:left="148" w:right="158"/>
              <w:rPr>
                <w:b/>
                <w:sz w:val="20"/>
              </w:rPr>
            </w:pPr>
            <w:r>
              <w:rPr>
                <w:b/>
                <w:sz w:val="20"/>
              </w:rPr>
              <w:t>$105,769</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05"/>
              <w:ind w:left="75" w:right="79"/>
              <w:rPr>
                <w:b/>
                <w:sz w:val="20"/>
              </w:rPr>
            </w:pPr>
            <w:r>
              <w:rPr>
                <w:b/>
                <w:sz w:val="20"/>
              </w:rPr>
              <w:t>$1,175</w:t>
            </w:r>
          </w:p>
        </w:tc>
        <w:tc>
          <w:tcPr>
            <w:tcW w:w="1261" w:type="dxa"/>
          </w:tcPr>
          <w:p>
            <w:pPr>
              <w:pStyle w:val="TableParagraph"/>
              <w:jc w:val="left"/>
              <w:rPr>
                <w:rFonts w:ascii="Times New Roman"/>
                <w:sz w:val="18"/>
              </w:rPr>
            </w:pPr>
          </w:p>
        </w:tc>
      </w:tr>
      <w:tr>
        <w:trPr>
          <w:trHeight w:val="920" w:hRule="atLeast"/>
        </w:trPr>
        <w:tc>
          <w:tcPr>
            <w:tcW w:w="3358" w:type="dxa"/>
          </w:tcPr>
          <w:p>
            <w:pPr>
              <w:pStyle w:val="TableParagraph"/>
              <w:ind w:left="107" w:right="114"/>
              <w:rPr>
                <w:b/>
                <w:sz w:val="20"/>
              </w:rPr>
            </w:pPr>
            <w:r>
              <w:rPr>
                <w:b/>
                <w:sz w:val="20"/>
              </w:rPr>
              <w:t>Does not include principal's salaries</w:t>
            </w:r>
          </w:p>
          <w:p>
            <w:pPr>
              <w:pStyle w:val="TableParagraph"/>
              <w:spacing w:line="226" w:lineRule="exact" w:before="22"/>
              <w:ind w:left="117" w:right="128" w:firstLine="4"/>
              <w:rPr>
                <w:b/>
                <w:sz w:val="20"/>
              </w:rPr>
            </w:pPr>
            <w:r>
              <w:rPr>
                <w:b/>
                <w:sz w:val="20"/>
              </w:rPr>
              <w:t>Barbara, Robert (CFO), Nathan (Principal) Hawkins all</w:t>
            </w:r>
            <w:r>
              <w:rPr>
                <w:b/>
                <w:spacing w:val="-28"/>
                <w:sz w:val="20"/>
              </w:rPr>
              <w:t> </w:t>
            </w:r>
            <w:r>
              <w:rPr>
                <w:b/>
                <w:sz w:val="20"/>
              </w:rPr>
              <w:t>employed</w:t>
            </w:r>
          </w:p>
        </w:tc>
        <w:tc>
          <w:tcPr>
            <w:tcW w:w="1891" w:type="dxa"/>
            <w:shd w:val="clear" w:color="auto" w:fill="FF0000"/>
          </w:tcPr>
          <w:p>
            <w:pPr>
              <w:pStyle w:val="TableParagraph"/>
              <w:jc w:val="left"/>
              <w:rPr>
                <w:rFonts w:ascii="Times New Roman"/>
                <w:sz w:val="18"/>
              </w:rPr>
            </w:pPr>
          </w:p>
        </w:tc>
        <w:tc>
          <w:tcPr>
            <w:tcW w:w="1260" w:type="dxa"/>
            <w:shd w:val="clear" w:color="auto" w:fill="FF0000"/>
          </w:tcPr>
          <w:p>
            <w:pPr>
              <w:pStyle w:val="TableParagraph"/>
              <w:spacing w:before="1"/>
              <w:jc w:val="left"/>
              <w:rPr>
                <w:rFonts w:ascii="Times New Roman"/>
                <w:sz w:val="29"/>
              </w:rPr>
            </w:pPr>
          </w:p>
          <w:p>
            <w:pPr>
              <w:pStyle w:val="TableParagraph"/>
              <w:ind w:right="483"/>
              <w:jc w:val="right"/>
              <w:rPr>
                <w:b/>
                <w:sz w:val="20"/>
              </w:rPr>
            </w:pPr>
            <w:r>
              <w:rPr>
                <w:b/>
                <w:w w:val="90"/>
                <w:sz w:val="20"/>
              </w:rPr>
              <w:t>RP</w:t>
            </w:r>
          </w:p>
        </w:tc>
        <w:tc>
          <w:tcPr>
            <w:tcW w:w="1620" w:type="dxa"/>
            <w:shd w:val="clear" w:color="auto" w:fill="FF0000"/>
          </w:tcPr>
          <w:p>
            <w:pPr>
              <w:pStyle w:val="TableParagraph"/>
              <w:jc w:val="left"/>
              <w:rPr>
                <w:rFonts w:ascii="Times New Roman"/>
                <w:sz w:val="18"/>
              </w:rPr>
            </w:pP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$298,077</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34"/>
              <w:rPr>
                <w:b/>
                <w:sz w:val="20"/>
              </w:rPr>
            </w:pPr>
            <w:r>
              <w:rPr>
                <w:b/>
                <w:sz w:val="20"/>
              </w:rPr>
              <w:t>$3,312</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97"/>
              <w:jc w:val="left"/>
              <w:rPr>
                <w:b/>
                <w:sz w:val="20"/>
              </w:rPr>
            </w:pPr>
            <w:r>
              <w:rPr>
                <w:b/>
                <w:sz w:val="20"/>
              </w:rPr>
              <w:t>Graysmark Schools Corporation</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45" w:right="412"/>
              <w:rPr>
                <w:b/>
                <w:sz w:val="20"/>
              </w:rPr>
            </w:pPr>
            <w:r>
              <w:rPr>
                <w:b/>
                <w:sz w:val="20"/>
              </w:rPr>
              <w:t>43</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1</w:t>
            </w:r>
          </w:p>
        </w:tc>
      </w:tr>
      <w:tr>
        <w:trPr>
          <w:trHeight w:val="480" w:hRule="atLeast"/>
        </w:trPr>
        <w:tc>
          <w:tcPr>
            <w:tcW w:w="3358" w:type="dxa"/>
          </w:tcPr>
          <w:p>
            <w:pPr>
              <w:pStyle w:val="TableParagraph"/>
              <w:spacing w:line="230" w:lineRule="atLeast" w:before="6"/>
              <w:ind w:left="553" w:right="389" w:firstLine="242"/>
              <w:jc w:val="left"/>
              <w:rPr>
                <w:b/>
                <w:sz w:val="20"/>
              </w:rPr>
            </w:pPr>
            <w:r>
              <w:rPr>
                <w:b/>
                <w:sz w:val="20"/>
              </w:rPr>
              <w:t>Tanya Graysmark, Board Member/Director</w:t>
            </w:r>
          </w:p>
        </w:tc>
        <w:tc>
          <w:tcPr>
            <w:tcW w:w="1891" w:type="dxa"/>
            <w:shd w:val="clear" w:color="auto" w:fill="FF0000"/>
          </w:tcPr>
          <w:p>
            <w:pPr>
              <w:pStyle w:val="TableParagraph"/>
              <w:spacing w:before="121"/>
              <w:ind w:left="148" w:right="158"/>
              <w:rPr>
                <w:b/>
                <w:sz w:val="20"/>
              </w:rPr>
            </w:pPr>
            <w:r>
              <w:rPr>
                <w:b/>
                <w:sz w:val="20"/>
              </w:rPr>
              <w:t>$118,313</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1"/>
              <w:ind w:left="75" w:right="79"/>
              <w:rPr>
                <w:b/>
                <w:sz w:val="20"/>
              </w:rPr>
            </w:pPr>
            <w:r>
              <w:rPr>
                <w:b/>
                <w:sz w:val="20"/>
              </w:rPr>
              <w:t>$2,751</w:t>
            </w:r>
          </w:p>
        </w:tc>
        <w:tc>
          <w:tcPr>
            <w:tcW w:w="1261" w:type="dxa"/>
          </w:tcPr>
          <w:p>
            <w:pPr>
              <w:pStyle w:val="TableParagraph"/>
              <w:spacing w:before="121"/>
              <w:ind w:right="7"/>
              <w:rPr>
                <w:b/>
                <w:sz w:val="20"/>
              </w:rPr>
            </w:pPr>
            <w:r>
              <w:rPr>
                <w:b/>
                <w:w w:val="97"/>
                <w:sz w:val="20"/>
              </w:rPr>
              <w:t>1</w:t>
            </w:r>
          </w:p>
        </w:tc>
      </w:tr>
      <w:tr>
        <w:trPr>
          <w:trHeight w:val="400" w:hRule="atLeast"/>
        </w:trPr>
        <w:tc>
          <w:tcPr>
            <w:tcW w:w="3358" w:type="dxa"/>
            <w:shd w:val="clear" w:color="auto" w:fill="C0C0C0"/>
          </w:tcPr>
          <w:p>
            <w:pPr>
              <w:pStyle w:val="TableParagraph"/>
              <w:spacing w:line="201" w:lineRule="exact"/>
              <w:ind w:left="107" w:right="114"/>
              <w:rPr>
                <w:b/>
                <w:sz w:val="20"/>
              </w:rPr>
            </w:pPr>
            <w:r>
              <w:rPr>
                <w:b/>
                <w:sz w:val="20"/>
              </w:rPr>
              <w:t>Great Expectations Academy,</w:t>
            </w:r>
          </w:p>
          <w:p>
            <w:pPr>
              <w:pStyle w:val="TableParagraph"/>
              <w:spacing w:line="199" w:lineRule="exact"/>
              <w:ind w:left="106" w:right="114"/>
              <w:rPr>
                <w:b/>
                <w:sz w:val="20"/>
              </w:rPr>
            </w:pPr>
            <w:r>
              <w:rPr>
                <w:b/>
                <w:sz w:val="20"/>
              </w:rPr>
              <w:t>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1"/>
              <w:ind w:right="484"/>
              <w:jc w:val="right"/>
              <w:rPr>
                <w:b/>
                <w:sz w:val="20"/>
              </w:rPr>
            </w:pPr>
            <w:r>
              <w:rPr>
                <w:b/>
                <w:sz w:val="20"/>
              </w:rPr>
              <w:t>286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1"/>
              <w:ind w:left="43"/>
              <w:rPr>
                <w:b/>
                <w:sz w:val="20"/>
              </w:rPr>
            </w:pPr>
            <w:r>
              <w:rPr>
                <w:b/>
                <w:w w:val="97"/>
                <w:sz w:val="20"/>
              </w:rPr>
              <w:t>1</w:t>
            </w:r>
          </w:p>
        </w:tc>
      </w:tr>
      <w:tr>
        <w:trPr>
          <w:trHeight w:val="340" w:hRule="atLeast"/>
        </w:trPr>
        <w:tc>
          <w:tcPr>
            <w:tcW w:w="3358" w:type="dxa"/>
          </w:tcPr>
          <w:p>
            <w:pPr>
              <w:pStyle w:val="TableParagraph"/>
              <w:spacing w:before="49"/>
              <w:ind w:left="609"/>
              <w:jc w:val="left"/>
              <w:rPr>
                <w:b/>
                <w:sz w:val="20"/>
              </w:rPr>
            </w:pPr>
            <w:r>
              <w:rPr>
                <w:b/>
                <w:sz w:val="20"/>
              </w:rPr>
              <w:t>Mark Phillips, Director</w:t>
            </w:r>
          </w:p>
        </w:tc>
        <w:tc>
          <w:tcPr>
            <w:tcW w:w="1891" w:type="dxa"/>
            <w:shd w:val="clear" w:color="auto" w:fill="FF0000"/>
          </w:tcPr>
          <w:p>
            <w:pPr>
              <w:pStyle w:val="TableParagraph"/>
              <w:spacing w:before="49"/>
              <w:ind w:left="148" w:right="158"/>
              <w:rPr>
                <w:b/>
                <w:sz w:val="20"/>
              </w:rPr>
            </w:pPr>
            <w:r>
              <w:rPr>
                <w:b/>
                <w:sz w:val="20"/>
              </w:rPr>
              <w:t>$108,251</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49"/>
              <w:ind w:left="75" w:right="80"/>
              <w:rPr>
                <w:b/>
                <w:sz w:val="20"/>
              </w:rPr>
            </w:pPr>
            <w:r>
              <w:rPr>
                <w:b/>
                <w:sz w:val="20"/>
              </w:rPr>
              <w:t>$379</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537"/>
              <w:jc w:val="left"/>
              <w:rPr>
                <w:b/>
                <w:sz w:val="20"/>
              </w:rPr>
            </w:pPr>
            <w:r>
              <w:rPr>
                <w:b/>
                <w:sz w:val="20"/>
              </w:rPr>
              <w:t>Griffin Foundation,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295</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right="64"/>
              <w:rPr>
                <w:b/>
                <w:sz w:val="20"/>
              </w:rPr>
            </w:pPr>
            <w:r>
              <w:rPr>
                <w:b/>
                <w:w w:val="97"/>
                <w:sz w:val="20"/>
              </w:rPr>
              <w:t>2</w:t>
            </w:r>
          </w:p>
        </w:tc>
      </w:tr>
      <w:tr>
        <w:trPr>
          <w:trHeight w:val="480" w:hRule="atLeast"/>
        </w:trPr>
        <w:tc>
          <w:tcPr>
            <w:tcW w:w="3358" w:type="dxa"/>
          </w:tcPr>
          <w:p>
            <w:pPr>
              <w:pStyle w:val="TableParagraph"/>
              <w:spacing w:line="228" w:lineRule="exact" w:before="14"/>
              <w:ind w:left="786" w:right="775" w:firstLine="350"/>
              <w:jc w:val="left"/>
              <w:rPr>
                <w:b/>
                <w:sz w:val="20"/>
              </w:rPr>
            </w:pPr>
            <w:r>
              <w:rPr>
                <w:b/>
                <w:sz w:val="20"/>
              </w:rPr>
              <w:t>Lee Griffin, Executive Director</w:t>
            </w:r>
          </w:p>
        </w:tc>
        <w:tc>
          <w:tcPr>
            <w:tcW w:w="1891" w:type="dxa"/>
            <w:shd w:val="clear" w:color="auto" w:fill="FF0000"/>
          </w:tcPr>
          <w:p>
            <w:pPr>
              <w:pStyle w:val="TableParagraph"/>
              <w:spacing w:before="121"/>
              <w:ind w:left="148" w:right="158"/>
              <w:rPr>
                <w:b/>
                <w:sz w:val="20"/>
              </w:rPr>
            </w:pPr>
            <w:r>
              <w:rPr>
                <w:b/>
                <w:sz w:val="20"/>
              </w:rPr>
              <w:t>$126,984</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1"/>
              <w:ind w:left="75" w:right="80"/>
              <w:rPr>
                <w:b/>
                <w:sz w:val="20"/>
              </w:rPr>
            </w:pPr>
            <w:r>
              <w:rPr>
                <w:b/>
                <w:sz w:val="20"/>
              </w:rPr>
              <w:t>$430</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949"/>
              <w:jc w:val="left"/>
              <w:rPr>
                <w:b/>
                <w:sz w:val="20"/>
              </w:rPr>
            </w:pPr>
            <w:r>
              <w:rPr>
                <w:b/>
                <w:sz w:val="20"/>
              </w:rPr>
              <w:t>LEAD Schools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1126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5</w:t>
            </w:r>
          </w:p>
        </w:tc>
      </w:tr>
      <w:tr>
        <w:trPr>
          <w:trHeight w:val="320" w:hRule="atLeast"/>
        </w:trPr>
        <w:tc>
          <w:tcPr>
            <w:tcW w:w="3358" w:type="dxa"/>
          </w:tcPr>
          <w:p>
            <w:pPr>
              <w:pStyle w:val="TableParagraph"/>
              <w:spacing w:before="49"/>
              <w:ind w:left="431"/>
              <w:jc w:val="left"/>
              <w:rPr>
                <w:b/>
                <w:sz w:val="20"/>
              </w:rPr>
            </w:pPr>
            <w:r>
              <w:rPr>
                <w:b/>
                <w:sz w:val="20"/>
              </w:rPr>
              <w:t>Delmer Geesey, President</w:t>
            </w:r>
          </w:p>
        </w:tc>
        <w:tc>
          <w:tcPr>
            <w:tcW w:w="1891" w:type="dxa"/>
            <w:shd w:val="clear" w:color="auto" w:fill="FFFF00"/>
          </w:tcPr>
          <w:p>
            <w:pPr>
              <w:pStyle w:val="TableParagraph"/>
              <w:spacing w:before="49"/>
              <w:ind w:left="150" w:right="155"/>
              <w:rPr>
                <w:b/>
                <w:sz w:val="20"/>
              </w:rPr>
            </w:pPr>
            <w:r>
              <w:rPr>
                <w:b/>
                <w:sz w:val="20"/>
              </w:rPr>
              <w:t>$178,500</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49"/>
              <w:ind w:left="75" w:right="80"/>
              <w:rPr>
                <w:b/>
                <w:sz w:val="20"/>
              </w:rPr>
            </w:pPr>
            <w:r>
              <w:rPr>
                <w:b/>
                <w:sz w:val="20"/>
              </w:rPr>
              <w:t>$159</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230"/>
              <w:jc w:val="left"/>
              <w:rPr>
                <w:b/>
                <w:sz w:val="20"/>
              </w:rPr>
            </w:pPr>
            <w:r>
              <w:rPr>
                <w:b/>
                <w:sz w:val="20"/>
              </w:rPr>
              <w:t>Johnathon Johnson, Principal</w:t>
            </w:r>
          </w:p>
        </w:tc>
        <w:tc>
          <w:tcPr>
            <w:tcW w:w="1891" w:type="dxa"/>
            <w:shd w:val="clear" w:color="auto" w:fill="FFFF00"/>
          </w:tcPr>
          <w:p>
            <w:pPr>
              <w:pStyle w:val="TableParagraph"/>
              <w:spacing w:before="33"/>
              <w:ind w:left="148" w:right="158"/>
              <w:rPr>
                <w:b/>
                <w:sz w:val="20"/>
              </w:rPr>
            </w:pPr>
            <w:r>
              <w:rPr>
                <w:b/>
                <w:sz w:val="20"/>
              </w:rPr>
              <w:t>$100,325</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33"/>
              <w:ind w:left="75" w:right="80"/>
              <w:rPr>
                <w:b/>
                <w:sz w:val="20"/>
              </w:rPr>
            </w:pPr>
            <w:r>
              <w:rPr>
                <w:b/>
                <w:sz w:val="20"/>
              </w:rPr>
              <w:t>$89</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925"/>
              <w:jc w:val="left"/>
              <w:rPr>
                <w:b/>
                <w:sz w:val="20"/>
              </w:rPr>
            </w:pPr>
            <w:r>
              <w:rPr>
                <w:b/>
                <w:sz w:val="20"/>
              </w:rPr>
              <w:t>Ron Body, CFO</w:t>
            </w:r>
          </w:p>
        </w:tc>
        <w:tc>
          <w:tcPr>
            <w:tcW w:w="1891" w:type="dxa"/>
            <w:shd w:val="clear" w:color="auto" w:fill="FFFF00"/>
          </w:tcPr>
          <w:p>
            <w:pPr>
              <w:pStyle w:val="TableParagraph"/>
              <w:spacing w:before="33"/>
              <w:ind w:left="148" w:right="158"/>
              <w:rPr>
                <w:b/>
                <w:sz w:val="20"/>
              </w:rPr>
            </w:pPr>
            <w:r>
              <w:rPr>
                <w:b/>
                <w:sz w:val="20"/>
              </w:rPr>
              <w:t>$146,000</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33"/>
              <w:ind w:left="75" w:right="80"/>
              <w:rPr>
                <w:b/>
                <w:sz w:val="20"/>
              </w:rPr>
            </w:pPr>
            <w:r>
              <w:rPr>
                <w:b/>
                <w:sz w:val="20"/>
              </w:rPr>
              <w:t>$130</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FF00"/>
          </w:tcPr>
          <w:p>
            <w:pPr>
              <w:pStyle w:val="TableParagraph"/>
              <w:spacing w:before="33"/>
              <w:ind w:left="148" w:right="158"/>
              <w:rPr>
                <w:b/>
                <w:sz w:val="20"/>
              </w:rPr>
            </w:pPr>
            <w:r>
              <w:rPr>
                <w:b/>
                <w:sz w:val="20"/>
              </w:rPr>
              <w:t>$424,825</w:t>
            </w:r>
          </w:p>
        </w:tc>
        <w:tc>
          <w:tcPr>
            <w:tcW w:w="1260" w:type="dxa"/>
            <w:shd w:val="clear" w:color="auto" w:fill="FFFF00"/>
          </w:tcPr>
          <w:p>
            <w:pPr>
              <w:pStyle w:val="TableParagraph"/>
              <w:jc w:val="left"/>
              <w:rPr>
                <w:rFonts w:ascii="Times New Roman"/>
                <w:sz w:val="18"/>
              </w:rPr>
            </w:pPr>
          </w:p>
        </w:tc>
        <w:tc>
          <w:tcPr>
            <w:tcW w:w="1620" w:type="dxa"/>
            <w:shd w:val="clear" w:color="auto" w:fill="FFFF00"/>
          </w:tcPr>
          <w:p>
            <w:pPr>
              <w:pStyle w:val="TableParagraph"/>
              <w:spacing w:before="33"/>
              <w:ind w:left="75" w:right="30"/>
              <w:rPr>
                <w:b/>
                <w:sz w:val="20"/>
              </w:rPr>
            </w:pPr>
            <w:r>
              <w:rPr>
                <w:b/>
                <w:sz w:val="20"/>
              </w:rPr>
              <w:t>$377</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448"/>
              <w:jc w:val="left"/>
              <w:rPr>
                <w:b/>
                <w:sz w:val="20"/>
              </w:rPr>
            </w:pPr>
            <w:r>
              <w:rPr>
                <w:b/>
                <w:sz w:val="20"/>
              </w:rPr>
              <w:t>Metropolitan Arts Institute</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right="484"/>
              <w:jc w:val="right"/>
              <w:rPr>
                <w:b/>
                <w:sz w:val="20"/>
              </w:rPr>
            </w:pPr>
            <w:r>
              <w:rPr>
                <w:b/>
                <w:sz w:val="20"/>
              </w:rPr>
              <w:t>251</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left="43"/>
              <w:rPr>
                <w:b/>
                <w:sz w:val="20"/>
              </w:rPr>
            </w:pPr>
            <w:r>
              <w:rPr>
                <w:b/>
                <w:w w:val="97"/>
                <w:sz w:val="20"/>
              </w:rPr>
              <w:t>1</w:t>
            </w:r>
          </w:p>
        </w:tc>
      </w:tr>
      <w:tr>
        <w:trPr>
          <w:trHeight w:val="460" w:hRule="atLeast"/>
        </w:trPr>
        <w:tc>
          <w:tcPr>
            <w:tcW w:w="3358" w:type="dxa"/>
          </w:tcPr>
          <w:p>
            <w:pPr>
              <w:pStyle w:val="TableParagraph"/>
              <w:spacing w:line="228" w:lineRule="exact" w:before="14"/>
              <w:ind w:left="270" w:right="202" w:firstLine="662"/>
              <w:jc w:val="left"/>
              <w:rPr>
                <w:b/>
                <w:sz w:val="20"/>
              </w:rPr>
            </w:pPr>
            <w:r>
              <w:rPr>
                <w:b/>
                <w:sz w:val="20"/>
              </w:rPr>
              <w:t>Matthew Baker, President - Executive Director</w:t>
            </w:r>
          </w:p>
        </w:tc>
        <w:tc>
          <w:tcPr>
            <w:tcW w:w="1891" w:type="dxa"/>
            <w:shd w:val="clear" w:color="auto" w:fill="FF0000"/>
          </w:tcPr>
          <w:p>
            <w:pPr>
              <w:pStyle w:val="TableParagraph"/>
              <w:spacing w:before="121"/>
              <w:ind w:left="148" w:right="158"/>
              <w:rPr>
                <w:b/>
                <w:sz w:val="20"/>
              </w:rPr>
            </w:pPr>
            <w:r>
              <w:rPr>
                <w:b/>
                <w:sz w:val="20"/>
              </w:rPr>
              <w:t>$115,281</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1"/>
              <w:ind w:left="75" w:right="80"/>
              <w:rPr>
                <w:b/>
                <w:sz w:val="20"/>
              </w:rPr>
            </w:pPr>
            <w:r>
              <w:rPr>
                <w:b/>
                <w:sz w:val="20"/>
              </w:rPr>
              <w:t>$459</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3" w:lineRule="auto" w:before="10"/>
              <w:ind w:left="875" w:right="246" w:hanging="111"/>
              <w:jc w:val="left"/>
              <w:rPr>
                <w:b/>
                <w:sz w:val="20"/>
              </w:rPr>
            </w:pPr>
            <w:r>
              <w:rPr>
                <w:b/>
                <w:sz w:val="20"/>
              </w:rPr>
              <w:t>Betsy Rosenmiller, Finance Director</w:t>
            </w:r>
          </w:p>
        </w:tc>
        <w:tc>
          <w:tcPr>
            <w:tcW w:w="1891" w:type="dxa"/>
            <w:shd w:val="clear" w:color="auto" w:fill="FF0000"/>
          </w:tcPr>
          <w:p>
            <w:pPr>
              <w:pStyle w:val="TableParagraph"/>
              <w:spacing w:before="107"/>
              <w:ind w:left="150" w:right="157"/>
              <w:rPr>
                <w:b/>
                <w:sz w:val="20"/>
              </w:rPr>
            </w:pPr>
            <w:r>
              <w:rPr>
                <w:b/>
                <w:sz w:val="20"/>
              </w:rPr>
              <w:t>$74,104</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07"/>
              <w:ind w:left="75" w:right="80"/>
              <w:rPr>
                <w:b/>
                <w:sz w:val="20"/>
              </w:rPr>
            </w:pPr>
            <w:r>
              <w:rPr>
                <w:b/>
                <w:sz w:val="20"/>
              </w:rPr>
              <w:t>$295</w:t>
            </w:r>
          </w:p>
        </w:tc>
        <w:tc>
          <w:tcPr>
            <w:tcW w:w="1261" w:type="dxa"/>
          </w:tcPr>
          <w:p>
            <w:pPr>
              <w:pStyle w:val="TableParagraph"/>
              <w:jc w:val="left"/>
              <w:rPr>
                <w:rFonts w:ascii="Times New Roman"/>
                <w:sz w:val="18"/>
              </w:rPr>
            </w:pPr>
          </w:p>
        </w:tc>
      </w:tr>
      <w:tr>
        <w:trPr>
          <w:trHeight w:val="320" w:hRule="atLeast"/>
        </w:trPr>
        <w:tc>
          <w:tcPr>
            <w:tcW w:w="3358" w:type="dxa"/>
          </w:tcPr>
          <w:p>
            <w:pPr>
              <w:pStyle w:val="TableParagraph"/>
              <w:spacing w:before="35"/>
              <w:ind w:left="726"/>
              <w:jc w:val="left"/>
              <w:rPr>
                <w:b/>
                <w:sz w:val="20"/>
              </w:rPr>
            </w:pPr>
            <w:r>
              <w:rPr>
                <w:b/>
                <w:sz w:val="20"/>
              </w:rPr>
              <w:t>Administrative Sum</w:t>
            </w:r>
          </w:p>
        </w:tc>
        <w:tc>
          <w:tcPr>
            <w:tcW w:w="1891" w:type="dxa"/>
            <w:shd w:val="clear" w:color="auto" w:fill="FF0000"/>
          </w:tcPr>
          <w:p>
            <w:pPr>
              <w:pStyle w:val="TableParagraph"/>
              <w:spacing w:before="35"/>
              <w:ind w:left="148" w:right="158"/>
              <w:rPr>
                <w:b/>
                <w:sz w:val="20"/>
              </w:rPr>
            </w:pPr>
            <w:r>
              <w:rPr>
                <w:b/>
                <w:sz w:val="20"/>
              </w:rPr>
              <w:t>$189,385</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5"/>
              <w:ind w:left="75" w:right="30"/>
              <w:rPr>
                <w:b/>
                <w:sz w:val="20"/>
              </w:rPr>
            </w:pPr>
            <w:r>
              <w:rPr>
                <w:b/>
                <w:sz w:val="20"/>
              </w:rPr>
              <w:t>$755</w:t>
            </w:r>
          </w:p>
        </w:tc>
        <w:tc>
          <w:tcPr>
            <w:tcW w:w="1261" w:type="dxa"/>
          </w:tcPr>
          <w:p>
            <w:pPr>
              <w:pStyle w:val="TableParagraph"/>
              <w:jc w:val="left"/>
              <w:rPr>
                <w:rFonts w:ascii="Times New Roman"/>
                <w:sz w:val="18"/>
              </w:rPr>
            </w:pPr>
          </w:p>
        </w:tc>
      </w:tr>
      <w:tr>
        <w:trPr>
          <w:trHeight w:val="420" w:hRule="atLeast"/>
        </w:trPr>
        <w:tc>
          <w:tcPr>
            <w:tcW w:w="3358" w:type="dxa"/>
            <w:shd w:val="clear" w:color="auto" w:fill="C0C0C0"/>
          </w:tcPr>
          <w:p>
            <w:pPr>
              <w:pStyle w:val="TableParagraph"/>
              <w:spacing w:line="199" w:lineRule="exact"/>
              <w:ind w:left="107" w:right="114"/>
              <w:rPr>
                <w:b/>
                <w:sz w:val="20"/>
              </w:rPr>
            </w:pPr>
            <w:r>
              <w:rPr>
                <w:b/>
                <w:sz w:val="20"/>
              </w:rPr>
              <w:t>New Horizon School for the</w:t>
            </w:r>
          </w:p>
          <w:p>
            <w:pPr>
              <w:pStyle w:val="TableParagraph"/>
              <w:spacing w:line="202" w:lineRule="exact"/>
              <w:ind w:left="48" w:right="114"/>
              <w:rPr>
                <w:b/>
                <w:sz w:val="20"/>
              </w:rPr>
            </w:pPr>
            <w:r>
              <w:rPr>
                <w:b/>
                <w:sz w:val="20"/>
              </w:rPr>
              <w:t>Performing Arts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right="484"/>
              <w:jc w:val="right"/>
              <w:rPr>
                <w:b/>
                <w:sz w:val="20"/>
              </w:rPr>
            </w:pPr>
            <w:r>
              <w:rPr>
                <w:b/>
                <w:sz w:val="20"/>
              </w:rPr>
              <w:t>167</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right="64"/>
              <w:rPr>
                <w:b/>
                <w:sz w:val="20"/>
              </w:rPr>
            </w:pPr>
            <w:r>
              <w:rPr>
                <w:b/>
                <w:w w:val="97"/>
                <w:sz w:val="20"/>
              </w:rPr>
              <w:t>1</w:t>
            </w:r>
          </w:p>
        </w:tc>
      </w:tr>
      <w:tr>
        <w:trPr>
          <w:trHeight w:val="460" w:hRule="atLeast"/>
        </w:trPr>
        <w:tc>
          <w:tcPr>
            <w:tcW w:w="3358" w:type="dxa"/>
          </w:tcPr>
          <w:p>
            <w:pPr>
              <w:pStyle w:val="TableParagraph"/>
              <w:spacing w:line="230" w:lineRule="atLeast" w:before="6"/>
              <w:ind w:left="973" w:right="966" w:firstLine="50"/>
              <w:jc w:val="left"/>
              <w:rPr>
                <w:b/>
                <w:sz w:val="20"/>
              </w:rPr>
            </w:pPr>
            <w:r>
              <w:rPr>
                <w:b/>
                <w:sz w:val="20"/>
              </w:rPr>
              <w:t>James Wyler, Vice President</w:t>
            </w:r>
          </w:p>
        </w:tc>
        <w:tc>
          <w:tcPr>
            <w:tcW w:w="1891" w:type="dxa"/>
            <w:shd w:val="clear" w:color="auto" w:fill="FF0000"/>
          </w:tcPr>
          <w:p>
            <w:pPr>
              <w:pStyle w:val="TableParagraph"/>
              <w:spacing w:before="119"/>
              <w:ind w:left="148" w:right="158"/>
              <w:rPr>
                <w:b/>
                <w:sz w:val="20"/>
              </w:rPr>
            </w:pPr>
            <w:r>
              <w:rPr>
                <w:b/>
                <w:sz w:val="20"/>
              </w:rPr>
              <w:t>$115,000</w:t>
            </w:r>
          </w:p>
        </w:tc>
        <w:tc>
          <w:tcPr>
            <w:tcW w:w="1260" w:type="dxa"/>
            <w:shd w:val="clear" w:color="auto" w:fill="FF0000"/>
          </w:tcPr>
          <w:p>
            <w:pPr>
              <w:pStyle w:val="TableParagraph"/>
              <w:spacing w:before="119"/>
              <w:ind w:right="509"/>
              <w:jc w:val="right"/>
              <w:rPr>
                <w:b/>
                <w:sz w:val="20"/>
              </w:rPr>
            </w:pPr>
            <w:r>
              <w:rPr>
                <w:b/>
                <w:w w:val="90"/>
                <w:sz w:val="20"/>
              </w:rPr>
              <w:t>RP</w:t>
            </w:r>
          </w:p>
        </w:tc>
        <w:tc>
          <w:tcPr>
            <w:tcW w:w="1620" w:type="dxa"/>
            <w:shd w:val="clear" w:color="auto" w:fill="FF0000"/>
          </w:tcPr>
          <w:p>
            <w:pPr>
              <w:pStyle w:val="TableParagraph"/>
              <w:spacing w:before="119"/>
              <w:ind w:left="75" w:right="80"/>
              <w:rPr>
                <w:b/>
                <w:sz w:val="20"/>
              </w:rPr>
            </w:pPr>
            <w:r>
              <w:rPr>
                <w:b/>
                <w:sz w:val="20"/>
              </w:rPr>
              <w:t>$689</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3" w:lineRule="auto" w:before="11"/>
              <w:ind w:left="419" w:right="354" w:firstLine="683"/>
              <w:jc w:val="left"/>
              <w:rPr>
                <w:b/>
                <w:sz w:val="20"/>
              </w:rPr>
            </w:pPr>
            <w:r>
              <w:rPr>
                <w:b/>
                <w:sz w:val="20"/>
              </w:rPr>
              <w:t>Jann Wyler, President / Superintendent</w:t>
            </w:r>
          </w:p>
        </w:tc>
        <w:tc>
          <w:tcPr>
            <w:tcW w:w="1891" w:type="dxa"/>
            <w:shd w:val="clear" w:color="auto" w:fill="FF0000"/>
          </w:tcPr>
          <w:p>
            <w:pPr>
              <w:pStyle w:val="TableParagraph"/>
              <w:spacing w:before="107"/>
              <w:ind w:left="150" w:right="157"/>
              <w:rPr>
                <w:b/>
                <w:sz w:val="20"/>
              </w:rPr>
            </w:pPr>
            <w:r>
              <w:rPr>
                <w:b/>
                <w:sz w:val="20"/>
              </w:rPr>
              <w:t>$79,480</w:t>
            </w:r>
          </w:p>
        </w:tc>
        <w:tc>
          <w:tcPr>
            <w:tcW w:w="1260" w:type="dxa"/>
            <w:shd w:val="clear" w:color="auto" w:fill="FF0000"/>
          </w:tcPr>
          <w:p>
            <w:pPr>
              <w:pStyle w:val="TableParagraph"/>
              <w:spacing w:before="107"/>
              <w:ind w:right="454"/>
              <w:jc w:val="right"/>
              <w:rPr>
                <w:b/>
                <w:sz w:val="20"/>
              </w:rPr>
            </w:pPr>
            <w:r>
              <w:rPr>
                <w:b/>
                <w:w w:val="90"/>
                <w:sz w:val="20"/>
              </w:rPr>
              <w:t>RP</w:t>
            </w:r>
          </w:p>
        </w:tc>
        <w:tc>
          <w:tcPr>
            <w:tcW w:w="1620" w:type="dxa"/>
            <w:shd w:val="clear" w:color="auto" w:fill="FF0000"/>
          </w:tcPr>
          <w:p>
            <w:pPr>
              <w:pStyle w:val="TableParagraph"/>
              <w:spacing w:before="107"/>
              <w:ind w:left="75" w:right="80"/>
              <w:rPr>
                <w:b/>
                <w:sz w:val="20"/>
              </w:rPr>
            </w:pPr>
            <w:r>
              <w:rPr>
                <w:b/>
                <w:sz w:val="20"/>
              </w:rPr>
              <w:t>$476</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26"/>
              <w:jc w:val="left"/>
              <w:rPr>
                <w:b/>
                <w:sz w:val="20"/>
              </w:rPr>
            </w:pPr>
            <w:r>
              <w:rPr>
                <w:b/>
                <w:sz w:val="20"/>
              </w:rPr>
              <w:t>Administrative Sum</w:t>
            </w:r>
          </w:p>
        </w:tc>
        <w:tc>
          <w:tcPr>
            <w:tcW w:w="1891" w:type="dxa"/>
            <w:shd w:val="clear" w:color="auto" w:fill="FF0000"/>
          </w:tcPr>
          <w:p>
            <w:pPr>
              <w:pStyle w:val="TableParagraph"/>
              <w:spacing w:before="35"/>
              <w:ind w:left="148" w:right="158"/>
              <w:rPr>
                <w:b/>
                <w:sz w:val="20"/>
              </w:rPr>
            </w:pPr>
            <w:r>
              <w:rPr>
                <w:b/>
                <w:sz w:val="20"/>
              </w:rPr>
              <w:t>$194,480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5"/>
              <w:ind w:left="16" w:right="83"/>
              <w:rPr>
                <w:b/>
                <w:sz w:val="20"/>
              </w:rPr>
            </w:pPr>
            <w:r>
              <w:rPr>
                <w:b/>
                <w:sz w:val="20"/>
              </w:rPr>
              <w:t>$1,165</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558"/>
              <w:jc w:val="left"/>
              <w:rPr>
                <w:b/>
                <w:sz w:val="20"/>
              </w:rPr>
            </w:pPr>
            <w:r>
              <w:rPr>
                <w:b/>
                <w:sz w:val="20"/>
              </w:rPr>
              <w:t>New School for the Arts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265</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left="43"/>
              <w:rPr>
                <w:b/>
                <w:sz w:val="20"/>
              </w:rPr>
            </w:pPr>
            <w:r>
              <w:rPr>
                <w:b/>
                <w:w w:val="97"/>
                <w:sz w:val="20"/>
              </w:rPr>
              <w:t>2</w:t>
            </w:r>
          </w:p>
        </w:tc>
      </w:tr>
    </w:tbl>
    <w:p>
      <w:pPr>
        <w:spacing w:after="0"/>
        <w:rPr>
          <w:sz w:val="20"/>
        </w:rPr>
        <w:sectPr>
          <w:footerReference w:type="default" r:id="rId38"/>
          <w:pgSz w:w="12240" w:h="15840"/>
          <w:pgMar w:footer="1002" w:header="740" w:top="940" w:bottom="1200" w:left="1300" w:right="1300"/>
          <w:pgNumType w:start="51"/>
        </w:sectPr>
      </w:pPr>
    </w:p>
    <w:p>
      <w:pPr>
        <w:pStyle w:val="BodyText"/>
        <w:rPr>
          <w:rFonts w:ascii="Times New Roman"/>
          <w:sz w:val="20"/>
        </w:rPr>
      </w:pPr>
    </w:p>
    <w:p>
      <w:pPr>
        <w:pStyle w:val="BodyText"/>
        <w:spacing w:before="2"/>
        <w:rPr>
          <w:rFonts w:ascii="Times New Roman"/>
          <w:sz w:val="22"/>
        </w:rPr>
      </w:pP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4"/>
              <w:ind w:left="954"/>
              <w:jc w:val="left"/>
              <w:rPr>
                <w:b/>
                <w:sz w:val="20"/>
              </w:rPr>
            </w:pPr>
            <w:r>
              <w:rPr>
                <w:b/>
                <w:sz w:val="20"/>
              </w:rPr>
              <w:t>Name and Title</w:t>
            </w:r>
          </w:p>
        </w:tc>
        <w:tc>
          <w:tcPr>
            <w:tcW w:w="1891" w:type="dxa"/>
            <w:tcBorders>
              <w:bottom w:val="nil"/>
            </w:tcBorders>
            <w:shd w:val="clear" w:color="auto" w:fill="D99493"/>
          </w:tcPr>
          <w:p>
            <w:pPr>
              <w:pStyle w:val="TableParagraph"/>
              <w:spacing w:before="26"/>
              <w:ind w:left="148" w:right="158"/>
              <w:rPr>
                <w:b/>
                <w:sz w:val="20"/>
              </w:rPr>
            </w:pPr>
            <w:r>
              <w:rPr>
                <w:b/>
                <w:sz w:val="20"/>
              </w:rPr>
              <w:t>Salary 990</w:t>
            </w:r>
          </w:p>
        </w:tc>
        <w:tc>
          <w:tcPr>
            <w:tcW w:w="1260" w:type="dxa"/>
            <w:vMerge w:val="restart"/>
            <w:shd w:val="clear" w:color="auto" w:fill="D99493"/>
          </w:tcPr>
          <w:p>
            <w:pPr>
              <w:pStyle w:val="TableParagraph"/>
              <w:spacing w:before="78"/>
              <w:ind w:left="477" w:right="294" w:hanging="173"/>
              <w:jc w:val="left"/>
              <w:rPr>
                <w:b/>
                <w:sz w:val="20"/>
              </w:rPr>
            </w:pPr>
            <w:r>
              <w:rPr>
                <w:b/>
                <w:sz w:val="20"/>
              </w:rPr>
              <w:t># ADM RP</w:t>
            </w:r>
          </w:p>
        </w:tc>
        <w:tc>
          <w:tcPr>
            <w:tcW w:w="1620" w:type="dxa"/>
            <w:vMerge w:val="restart"/>
            <w:shd w:val="clear" w:color="auto" w:fill="D99493"/>
          </w:tcPr>
          <w:p>
            <w:pPr>
              <w:pStyle w:val="TableParagraph"/>
              <w:spacing w:before="194"/>
              <w:ind w:left="119"/>
              <w:jc w:val="left"/>
              <w:rPr>
                <w:b/>
                <w:sz w:val="20"/>
              </w:rPr>
            </w:pPr>
            <w:r>
              <w:rPr>
                <w:b/>
                <w:sz w:val="20"/>
                <w:u w:val="thick"/>
              </w:rPr>
              <w:t>Cost per Pupil</w:t>
            </w:r>
          </w:p>
        </w:tc>
        <w:tc>
          <w:tcPr>
            <w:tcW w:w="1261" w:type="dxa"/>
            <w:vMerge w:val="restart"/>
            <w:shd w:val="clear" w:color="auto" w:fill="D99493"/>
          </w:tcPr>
          <w:p>
            <w:pPr>
              <w:pStyle w:val="TableParagraph"/>
              <w:spacing w:before="194"/>
              <w:ind w:left="295"/>
              <w:jc w:val="left"/>
              <w:rPr>
                <w:b/>
                <w:sz w:val="20"/>
              </w:rPr>
            </w:pPr>
            <w:r>
              <w:rPr>
                <w:b/>
                <w:sz w:val="20"/>
              </w:rPr>
              <w:t># Sites</w:t>
            </w:r>
          </w:p>
        </w:tc>
      </w:tr>
      <w:tr>
        <w:trPr>
          <w:trHeight w:val="28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2"/>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480" w:hRule="atLeast"/>
        </w:trPr>
        <w:tc>
          <w:tcPr>
            <w:tcW w:w="3358" w:type="dxa"/>
          </w:tcPr>
          <w:p>
            <w:pPr>
              <w:pStyle w:val="TableParagraph"/>
              <w:spacing w:line="228" w:lineRule="exact" w:before="16"/>
              <w:ind w:left="381" w:right="358" w:hanging="12"/>
              <w:jc w:val="left"/>
              <w:rPr>
                <w:b/>
                <w:sz w:val="20"/>
              </w:rPr>
            </w:pPr>
            <w:r>
              <w:rPr>
                <w:b/>
                <w:sz w:val="20"/>
              </w:rPr>
              <w:t>Katy Ferrell Cardenas, Vice President - Executive Dean</w:t>
            </w:r>
          </w:p>
        </w:tc>
        <w:tc>
          <w:tcPr>
            <w:tcW w:w="1891" w:type="dxa"/>
            <w:shd w:val="clear" w:color="auto" w:fill="FF0000"/>
          </w:tcPr>
          <w:p>
            <w:pPr>
              <w:pStyle w:val="TableParagraph"/>
              <w:spacing w:before="126"/>
              <w:ind w:left="148" w:right="158"/>
              <w:rPr>
                <w:b/>
                <w:sz w:val="20"/>
              </w:rPr>
            </w:pPr>
            <w:r>
              <w:rPr>
                <w:b/>
                <w:sz w:val="20"/>
              </w:rPr>
              <w:t>$179,872</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26"/>
              <w:ind w:left="75" w:right="80"/>
              <w:rPr>
                <w:b/>
                <w:sz w:val="20"/>
              </w:rPr>
            </w:pPr>
            <w:r>
              <w:rPr>
                <w:b/>
                <w:sz w:val="20"/>
              </w:rPr>
              <w:t>$679</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273"/>
              <w:jc w:val="left"/>
              <w:rPr>
                <w:b/>
                <w:sz w:val="20"/>
              </w:rPr>
            </w:pPr>
            <w:r>
              <w:rPr>
                <w:b/>
                <w:sz w:val="20"/>
              </w:rPr>
              <w:t>Noah Webster Schools - Pima</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right="429"/>
              <w:jc w:val="right"/>
              <w:rPr>
                <w:b/>
                <w:sz w:val="20"/>
              </w:rPr>
            </w:pPr>
            <w:r>
              <w:rPr>
                <w:b/>
                <w:sz w:val="20"/>
              </w:rPr>
              <w:t>1249</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right="64"/>
              <w:rPr>
                <w:b/>
                <w:sz w:val="20"/>
              </w:rPr>
            </w:pPr>
            <w:r>
              <w:rPr>
                <w:b/>
                <w:w w:val="97"/>
                <w:sz w:val="20"/>
              </w:rPr>
              <w:t>2</w:t>
            </w:r>
          </w:p>
        </w:tc>
      </w:tr>
      <w:tr>
        <w:trPr>
          <w:trHeight w:val="320" w:hRule="atLeast"/>
        </w:trPr>
        <w:tc>
          <w:tcPr>
            <w:tcW w:w="3358" w:type="dxa"/>
          </w:tcPr>
          <w:p>
            <w:pPr>
              <w:pStyle w:val="TableParagraph"/>
              <w:spacing w:before="52"/>
              <w:ind w:left="705"/>
              <w:jc w:val="left"/>
              <w:rPr>
                <w:b/>
                <w:sz w:val="20"/>
              </w:rPr>
            </w:pPr>
            <w:r>
              <w:rPr>
                <w:b/>
                <w:sz w:val="20"/>
              </w:rPr>
              <w:t>Total for Kelly Wade</w:t>
            </w:r>
          </w:p>
        </w:tc>
        <w:tc>
          <w:tcPr>
            <w:tcW w:w="1891" w:type="dxa"/>
            <w:shd w:val="clear" w:color="auto" w:fill="92D050"/>
          </w:tcPr>
          <w:p>
            <w:pPr>
              <w:pStyle w:val="TableParagraph"/>
              <w:spacing w:before="52"/>
              <w:ind w:left="148" w:right="158"/>
              <w:rPr>
                <w:b/>
                <w:sz w:val="20"/>
              </w:rPr>
            </w:pPr>
            <w:r>
              <w:rPr>
                <w:b/>
                <w:sz w:val="20"/>
              </w:rPr>
              <w:t>$134,306</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52"/>
              <w:ind w:left="75" w:right="80"/>
              <w:rPr>
                <w:b/>
                <w:sz w:val="20"/>
              </w:rPr>
            </w:pPr>
            <w:r>
              <w:rPr>
                <w:b/>
                <w:sz w:val="20"/>
              </w:rPr>
              <w:t>$108</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810"/>
              <w:jc w:val="left"/>
              <w:rPr>
                <w:b/>
                <w:sz w:val="20"/>
              </w:rPr>
            </w:pPr>
            <w:r>
              <w:rPr>
                <w:b/>
                <w:sz w:val="20"/>
              </w:rPr>
              <w:t>Total for Vicki Dry</w:t>
            </w:r>
          </w:p>
        </w:tc>
        <w:tc>
          <w:tcPr>
            <w:tcW w:w="1891" w:type="dxa"/>
            <w:shd w:val="clear" w:color="auto" w:fill="92D050"/>
          </w:tcPr>
          <w:p>
            <w:pPr>
              <w:pStyle w:val="TableParagraph"/>
              <w:spacing w:before="33"/>
              <w:ind w:left="148" w:right="158"/>
              <w:rPr>
                <w:b/>
                <w:sz w:val="20"/>
              </w:rPr>
            </w:pPr>
            <w:r>
              <w:rPr>
                <w:b/>
                <w:sz w:val="20"/>
              </w:rPr>
              <w:t>$126,170</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33"/>
              <w:ind w:left="75" w:right="80"/>
              <w:rPr>
                <w:b/>
                <w:sz w:val="20"/>
              </w:rPr>
            </w:pPr>
            <w:r>
              <w:rPr>
                <w:b/>
                <w:sz w:val="20"/>
              </w:rPr>
              <w:t>$101</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26"/>
              <w:jc w:val="left"/>
              <w:rPr>
                <w:b/>
                <w:sz w:val="20"/>
              </w:rPr>
            </w:pPr>
            <w:r>
              <w:rPr>
                <w:b/>
                <w:sz w:val="20"/>
              </w:rPr>
              <w:t>Administrative Sum</w:t>
            </w:r>
          </w:p>
        </w:tc>
        <w:tc>
          <w:tcPr>
            <w:tcW w:w="1891" w:type="dxa"/>
            <w:shd w:val="clear" w:color="auto" w:fill="92D050"/>
          </w:tcPr>
          <w:p>
            <w:pPr>
              <w:pStyle w:val="TableParagraph"/>
              <w:spacing w:before="35"/>
              <w:ind w:left="148" w:right="158"/>
              <w:rPr>
                <w:b/>
                <w:sz w:val="20"/>
              </w:rPr>
            </w:pPr>
            <w:r>
              <w:rPr>
                <w:b/>
                <w:sz w:val="20"/>
              </w:rPr>
              <w:t>$260,476</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35"/>
              <w:ind w:left="16" w:right="83"/>
              <w:rPr>
                <w:b/>
                <w:sz w:val="20"/>
              </w:rPr>
            </w:pPr>
            <w:r>
              <w:rPr>
                <w:b/>
                <w:sz w:val="20"/>
              </w:rPr>
              <w:t>$209</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131"/>
              <w:jc w:val="left"/>
              <w:rPr>
                <w:b/>
                <w:sz w:val="20"/>
              </w:rPr>
            </w:pPr>
            <w:r>
              <w:rPr>
                <w:b/>
                <w:sz w:val="20"/>
              </w:rPr>
              <w:t>Northland Preparatory Academy</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right="456"/>
              <w:jc w:val="right"/>
              <w:rPr>
                <w:b/>
                <w:sz w:val="20"/>
              </w:rPr>
            </w:pPr>
            <w:r>
              <w:rPr>
                <w:b/>
                <w:sz w:val="20"/>
              </w:rPr>
              <w:t>628</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right="7"/>
              <w:rPr>
                <w:b/>
                <w:sz w:val="20"/>
              </w:rPr>
            </w:pPr>
            <w:r>
              <w:rPr>
                <w:b/>
                <w:w w:val="97"/>
                <w:sz w:val="20"/>
              </w:rPr>
              <w:t>1</w:t>
            </w:r>
          </w:p>
        </w:tc>
      </w:tr>
      <w:tr>
        <w:trPr>
          <w:trHeight w:val="460" w:hRule="atLeast"/>
        </w:trPr>
        <w:tc>
          <w:tcPr>
            <w:tcW w:w="3358" w:type="dxa"/>
          </w:tcPr>
          <w:p>
            <w:pPr>
              <w:pStyle w:val="TableParagraph"/>
              <w:spacing w:line="225" w:lineRule="auto" w:before="6"/>
              <w:ind w:left="933" w:right="819" w:hanging="101"/>
              <w:jc w:val="left"/>
              <w:rPr>
                <w:b/>
                <w:sz w:val="20"/>
              </w:rPr>
            </w:pPr>
            <w:r>
              <w:rPr>
                <w:b/>
                <w:sz w:val="20"/>
              </w:rPr>
              <w:t>Robert Lombardi, Superintendent</w:t>
            </w:r>
          </w:p>
        </w:tc>
        <w:tc>
          <w:tcPr>
            <w:tcW w:w="1891" w:type="dxa"/>
          </w:tcPr>
          <w:p>
            <w:pPr>
              <w:pStyle w:val="TableParagraph"/>
              <w:spacing w:before="105"/>
              <w:ind w:left="148" w:right="158"/>
              <w:rPr>
                <w:b/>
                <w:sz w:val="20"/>
              </w:rPr>
            </w:pPr>
            <w:r>
              <w:rPr>
                <w:b/>
                <w:sz w:val="20"/>
              </w:rPr>
              <w:t>$110,919</w:t>
            </w:r>
          </w:p>
        </w:tc>
        <w:tc>
          <w:tcPr>
            <w:tcW w:w="1260" w:type="dxa"/>
          </w:tcPr>
          <w:p>
            <w:pPr>
              <w:pStyle w:val="TableParagraph"/>
              <w:jc w:val="left"/>
              <w:rPr>
                <w:rFonts w:ascii="Times New Roman"/>
                <w:sz w:val="18"/>
              </w:rPr>
            </w:pPr>
          </w:p>
        </w:tc>
        <w:tc>
          <w:tcPr>
            <w:tcW w:w="1620" w:type="dxa"/>
          </w:tcPr>
          <w:p>
            <w:pPr>
              <w:pStyle w:val="TableParagraph"/>
              <w:spacing w:before="105"/>
              <w:ind w:left="75" w:right="80"/>
              <w:rPr>
                <w:b/>
                <w:sz w:val="20"/>
              </w:rPr>
            </w:pPr>
            <w:r>
              <w:rPr>
                <w:b/>
                <w:sz w:val="20"/>
              </w:rPr>
              <w:t>$177</w:t>
            </w:r>
          </w:p>
        </w:tc>
        <w:tc>
          <w:tcPr>
            <w:tcW w:w="1261" w:type="dxa"/>
          </w:tcPr>
          <w:p>
            <w:pPr>
              <w:pStyle w:val="TableParagraph"/>
              <w:jc w:val="left"/>
              <w:rPr>
                <w:rFonts w:ascii="Times New Roman"/>
                <w:sz w:val="18"/>
              </w:rPr>
            </w:pPr>
          </w:p>
        </w:tc>
      </w:tr>
      <w:tr>
        <w:trPr>
          <w:trHeight w:val="920" w:hRule="atLeast"/>
        </w:trPr>
        <w:tc>
          <w:tcPr>
            <w:tcW w:w="3358" w:type="dxa"/>
            <w:shd w:val="clear" w:color="auto" w:fill="C0C0C0"/>
          </w:tcPr>
          <w:p>
            <w:pPr>
              <w:pStyle w:val="TableParagraph"/>
              <w:spacing w:before="1"/>
              <w:jc w:val="left"/>
              <w:rPr>
                <w:rFonts w:ascii="Times New Roman"/>
                <w:sz w:val="19"/>
              </w:rPr>
            </w:pPr>
          </w:p>
          <w:p>
            <w:pPr>
              <w:pStyle w:val="TableParagraph"/>
              <w:ind w:left="1489" w:right="133" w:hanging="1294"/>
              <w:jc w:val="left"/>
              <w:rPr>
                <w:b/>
                <w:sz w:val="20"/>
              </w:rPr>
            </w:pPr>
            <w:r>
              <w:rPr>
                <w:b/>
                <w:sz w:val="20"/>
              </w:rPr>
              <w:t>Educational Service of America Inc.</w:t>
            </w:r>
          </w:p>
        </w:tc>
        <w:tc>
          <w:tcPr>
            <w:tcW w:w="1891" w:type="dxa"/>
            <w:shd w:val="clear" w:color="auto" w:fill="C0C0C0"/>
          </w:tcPr>
          <w:p>
            <w:pPr>
              <w:pStyle w:val="TableParagraph"/>
              <w:ind w:left="150" w:right="158"/>
              <w:rPr>
                <w:b/>
                <w:sz w:val="20"/>
              </w:rPr>
            </w:pPr>
            <w:r>
              <w:rPr>
                <w:b/>
                <w:sz w:val="20"/>
              </w:rPr>
              <w:t>Corporate Level Salaries,</w:t>
            </w:r>
          </w:p>
          <w:p>
            <w:pPr>
              <w:pStyle w:val="TableParagraph"/>
              <w:spacing w:line="228" w:lineRule="exact" w:before="18"/>
              <w:ind w:left="225" w:right="236" w:firstLine="4"/>
              <w:rPr>
                <w:b/>
                <w:sz w:val="20"/>
              </w:rPr>
            </w:pPr>
            <w:r>
              <w:rPr>
                <w:b/>
                <w:sz w:val="20"/>
              </w:rPr>
              <w:t>Company is in Multiple</w:t>
            </w:r>
            <w:r>
              <w:rPr>
                <w:b/>
                <w:spacing w:val="-7"/>
                <w:sz w:val="20"/>
              </w:rPr>
              <w:t> </w:t>
            </w:r>
            <w:r>
              <w:rPr>
                <w:b/>
                <w:sz w:val="20"/>
              </w:rPr>
              <w:t>States</w:t>
            </w:r>
          </w:p>
        </w:tc>
        <w:tc>
          <w:tcPr>
            <w:tcW w:w="1260" w:type="dxa"/>
            <w:shd w:val="clear" w:color="auto" w:fill="C0C0C0"/>
          </w:tcPr>
          <w:p>
            <w:pPr>
              <w:pStyle w:val="TableParagraph"/>
              <w:spacing w:before="1"/>
              <w:jc w:val="left"/>
              <w:rPr>
                <w:rFonts w:ascii="Times New Roman"/>
                <w:sz w:val="29"/>
              </w:rPr>
            </w:pPr>
          </w:p>
          <w:p>
            <w:pPr>
              <w:pStyle w:val="TableParagraph"/>
              <w:ind w:right="429"/>
              <w:jc w:val="right"/>
              <w:rPr>
                <w:b/>
                <w:sz w:val="20"/>
              </w:rPr>
            </w:pPr>
            <w:r>
              <w:rPr>
                <w:b/>
                <w:sz w:val="20"/>
              </w:rPr>
              <w:t>802</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
              <w:jc w:val="left"/>
              <w:rPr>
                <w:rFonts w:ascii="Times New Roman"/>
                <w:sz w:val="29"/>
              </w:rPr>
            </w:pPr>
          </w:p>
          <w:p>
            <w:pPr>
              <w:pStyle w:val="TableParagraph"/>
              <w:ind w:left="43"/>
              <w:rPr>
                <w:b/>
                <w:sz w:val="20"/>
              </w:rPr>
            </w:pPr>
            <w:r>
              <w:rPr>
                <w:b/>
                <w:w w:val="97"/>
                <w:sz w:val="20"/>
              </w:rPr>
              <w:t>7</w:t>
            </w:r>
          </w:p>
        </w:tc>
      </w:tr>
      <w:tr>
        <w:trPr>
          <w:trHeight w:val="280" w:hRule="atLeast"/>
        </w:trPr>
        <w:tc>
          <w:tcPr>
            <w:tcW w:w="3358" w:type="dxa"/>
          </w:tcPr>
          <w:p>
            <w:pPr>
              <w:pStyle w:val="TableParagraph"/>
              <w:spacing w:before="33"/>
              <w:ind w:left="565"/>
              <w:jc w:val="left"/>
              <w:rPr>
                <w:b/>
                <w:sz w:val="20"/>
              </w:rPr>
            </w:pPr>
            <w:r>
              <w:rPr>
                <w:b/>
                <w:sz w:val="20"/>
              </w:rPr>
              <w:t>John Arnold, President</w:t>
            </w:r>
          </w:p>
        </w:tc>
        <w:tc>
          <w:tcPr>
            <w:tcW w:w="1891" w:type="dxa"/>
          </w:tcPr>
          <w:p>
            <w:pPr>
              <w:pStyle w:val="TableParagraph"/>
              <w:spacing w:before="33"/>
              <w:ind w:left="148" w:right="158"/>
              <w:rPr>
                <w:b/>
                <w:sz w:val="20"/>
              </w:rPr>
            </w:pPr>
            <w:r>
              <w:rPr>
                <w:b/>
                <w:sz w:val="20"/>
              </w:rPr>
              <w:t>$759,722</w:t>
            </w:r>
          </w:p>
        </w:tc>
        <w:tc>
          <w:tcPr>
            <w:tcW w:w="1260" w:type="dxa"/>
          </w:tcPr>
          <w:p>
            <w:pPr>
              <w:pStyle w:val="TableParagraph"/>
              <w:jc w:val="left"/>
              <w:rPr>
                <w:rFonts w:ascii="Times New Roman"/>
                <w:sz w:val="18"/>
              </w:rPr>
            </w:pPr>
          </w:p>
        </w:tc>
        <w:tc>
          <w:tcPr>
            <w:tcW w:w="1620" w:type="dxa"/>
          </w:tcPr>
          <w:p>
            <w:pPr>
              <w:pStyle w:val="TableParagraph"/>
              <w:spacing w:before="33"/>
              <w:ind w:left="70" w:right="83"/>
              <w:rPr>
                <w:b/>
                <w:sz w:val="20"/>
              </w:rPr>
            </w:pPr>
            <w:r>
              <w:rPr>
                <w:b/>
                <w:sz w:val="20"/>
              </w:rPr>
              <w:t>Not calculated</w:t>
            </w:r>
          </w:p>
        </w:tc>
        <w:tc>
          <w:tcPr>
            <w:tcW w:w="1261" w:type="dxa"/>
          </w:tcPr>
          <w:p>
            <w:pPr>
              <w:pStyle w:val="TableParagraph"/>
              <w:spacing w:before="33"/>
              <w:ind w:right="7"/>
              <w:rPr>
                <w:b/>
                <w:sz w:val="20"/>
              </w:rPr>
            </w:pPr>
            <w:r>
              <w:rPr>
                <w:b/>
                <w:w w:val="97"/>
                <w:sz w:val="20"/>
              </w:rPr>
              <w:t>7</w:t>
            </w:r>
          </w:p>
        </w:tc>
      </w:tr>
      <w:tr>
        <w:trPr>
          <w:trHeight w:val="820" w:hRule="atLeast"/>
        </w:trPr>
        <w:tc>
          <w:tcPr>
            <w:tcW w:w="3358" w:type="dxa"/>
          </w:tcPr>
          <w:p>
            <w:pPr>
              <w:pStyle w:val="TableParagraph"/>
              <w:spacing w:before="4"/>
              <w:jc w:val="left"/>
              <w:rPr>
                <w:rFonts w:ascii="Times New Roman"/>
                <w:sz w:val="25"/>
              </w:rPr>
            </w:pPr>
          </w:p>
          <w:p>
            <w:pPr>
              <w:pStyle w:val="TableParagraph"/>
              <w:ind w:left="942"/>
              <w:jc w:val="left"/>
              <w:rPr>
                <w:b/>
                <w:sz w:val="20"/>
              </w:rPr>
            </w:pPr>
            <w:r>
              <w:rPr>
                <w:b/>
                <w:sz w:val="20"/>
              </w:rPr>
              <w:t>Jeff Gibbs, CIO</w:t>
            </w:r>
          </w:p>
        </w:tc>
        <w:tc>
          <w:tcPr>
            <w:tcW w:w="1891" w:type="dxa"/>
          </w:tcPr>
          <w:p>
            <w:pPr>
              <w:pStyle w:val="TableParagraph"/>
              <w:spacing w:before="4"/>
              <w:jc w:val="left"/>
              <w:rPr>
                <w:rFonts w:ascii="Times New Roman"/>
                <w:sz w:val="25"/>
              </w:rPr>
            </w:pPr>
          </w:p>
          <w:p>
            <w:pPr>
              <w:pStyle w:val="TableParagraph"/>
              <w:ind w:left="148" w:right="158"/>
              <w:rPr>
                <w:b/>
                <w:sz w:val="20"/>
              </w:rPr>
            </w:pPr>
            <w:r>
              <w:rPr>
                <w:b/>
                <w:sz w:val="20"/>
              </w:rPr>
              <w:t>$265,840</w:t>
            </w:r>
          </w:p>
        </w:tc>
        <w:tc>
          <w:tcPr>
            <w:tcW w:w="1260" w:type="dxa"/>
          </w:tcPr>
          <w:p>
            <w:pPr>
              <w:pStyle w:val="TableParagraph"/>
              <w:jc w:val="left"/>
              <w:rPr>
                <w:rFonts w:ascii="Times New Roman"/>
                <w:sz w:val="18"/>
              </w:rPr>
            </w:pPr>
          </w:p>
        </w:tc>
        <w:tc>
          <w:tcPr>
            <w:tcW w:w="1620" w:type="dxa"/>
          </w:tcPr>
          <w:p>
            <w:pPr>
              <w:pStyle w:val="TableParagraph"/>
              <w:spacing w:before="4"/>
              <w:jc w:val="left"/>
              <w:rPr>
                <w:rFonts w:ascii="Times New Roman"/>
                <w:sz w:val="25"/>
              </w:rPr>
            </w:pPr>
          </w:p>
          <w:p>
            <w:pPr>
              <w:pStyle w:val="TableParagraph"/>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705"/>
              <w:jc w:val="left"/>
              <w:rPr>
                <w:b/>
                <w:sz w:val="20"/>
              </w:rPr>
            </w:pPr>
            <w:r>
              <w:rPr>
                <w:b/>
                <w:sz w:val="20"/>
              </w:rPr>
              <w:t>Bill Thompson, CFO</w:t>
            </w:r>
          </w:p>
        </w:tc>
        <w:tc>
          <w:tcPr>
            <w:tcW w:w="1891" w:type="dxa"/>
          </w:tcPr>
          <w:p>
            <w:pPr>
              <w:pStyle w:val="TableParagraph"/>
              <w:spacing w:before="35"/>
              <w:ind w:left="148" w:right="158"/>
              <w:rPr>
                <w:b/>
                <w:sz w:val="20"/>
              </w:rPr>
            </w:pPr>
            <w:r>
              <w:rPr>
                <w:b/>
                <w:sz w:val="20"/>
              </w:rPr>
              <w:t>$562,676</w:t>
            </w:r>
          </w:p>
        </w:tc>
        <w:tc>
          <w:tcPr>
            <w:tcW w:w="1260" w:type="dxa"/>
          </w:tcPr>
          <w:p>
            <w:pPr>
              <w:pStyle w:val="TableParagraph"/>
              <w:jc w:val="left"/>
              <w:rPr>
                <w:rFonts w:ascii="Times New Roman"/>
                <w:sz w:val="18"/>
              </w:rPr>
            </w:pPr>
          </w:p>
        </w:tc>
        <w:tc>
          <w:tcPr>
            <w:tcW w:w="1620" w:type="dxa"/>
          </w:tcPr>
          <w:p>
            <w:pPr>
              <w:pStyle w:val="TableParagraph"/>
              <w:spacing w:before="35"/>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803"/>
              <w:jc w:val="left"/>
              <w:rPr>
                <w:b/>
                <w:sz w:val="20"/>
              </w:rPr>
            </w:pPr>
            <w:r>
              <w:rPr>
                <w:b/>
                <w:sz w:val="20"/>
              </w:rPr>
              <w:t>Eric Stewart, COO</w:t>
            </w:r>
          </w:p>
        </w:tc>
        <w:tc>
          <w:tcPr>
            <w:tcW w:w="1891" w:type="dxa"/>
          </w:tcPr>
          <w:p>
            <w:pPr>
              <w:pStyle w:val="TableParagraph"/>
              <w:spacing w:before="33"/>
              <w:ind w:left="148" w:right="158"/>
              <w:rPr>
                <w:b/>
                <w:sz w:val="20"/>
              </w:rPr>
            </w:pPr>
            <w:r>
              <w:rPr>
                <w:b/>
                <w:sz w:val="20"/>
              </w:rPr>
              <w:t>$238,737</w:t>
            </w:r>
          </w:p>
        </w:tc>
        <w:tc>
          <w:tcPr>
            <w:tcW w:w="1260" w:type="dxa"/>
          </w:tcPr>
          <w:p>
            <w:pPr>
              <w:pStyle w:val="TableParagraph"/>
              <w:jc w:val="left"/>
              <w:rPr>
                <w:rFonts w:ascii="Times New Roman"/>
                <w:sz w:val="18"/>
              </w:rPr>
            </w:pPr>
          </w:p>
        </w:tc>
        <w:tc>
          <w:tcPr>
            <w:tcW w:w="1620" w:type="dxa"/>
          </w:tcPr>
          <w:p>
            <w:pPr>
              <w:pStyle w:val="TableParagraph"/>
              <w:spacing w:before="33"/>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920" w:hRule="atLeast"/>
        </w:trPr>
        <w:tc>
          <w:tcPr>
            <w:tcW w:w="3358" w:type="dxa"/>
            <w:shd w:val="clear" w:color="auto" w:fill="C0C0C0"/>
          </w:tcPr>
          <w:p>
            <w:pPr>
              <w:pStyle w:val="TableParagraph"/>
              <w:spacing w:before="1"/>
              <w:jc w:val="left"/>
              <w:rPr>
                <w:rFonts w:ascii="Times New Roman"/>
                <w:sz w:val="29"/>
              </w:rPr>
            </w:pPr>
          </w:p>
          <w:p>
            <w:pPr>
              <w:pStyle w:val="TableParagraph"/>
              <w:ind w:left="889"/>
              <w:jc w:val="left"/>
              <w:rPr>
                <w:b/>
                <w:sz w:val="20"/>
              </w:rPr>
            </w:pPr>
            <w:r>
              <w:rPr>
                <w:b/>
                <w:sz w:val="20"/>
              </w:rPr>
              <w:t>Pace Education</w:t>
            </w:r>
          </w:p>
        </w:tc>
        <w:tc>
          <w:tcPr>
            <w:tcW w:w="1891" w:type="dxa"/>
            <w:shd w:val="clear" w:color="auto" w:fill="C0C0C0"/>
          </w:tcPr>
          <w:p>
            <w:pPr>
              <w:pStyle w:val="TableParagraph"/>
              <w:ind w:left="150" w:right="158"/>
              <w:rPr>
                <w:b/>
                <w:sz w:val="20"/>
              </w:rPr>
            </w:pPr>
            <w:r>
              <w:rPr>
                <w:b/>
                <w:sz w:val="20"/>
              </w:rPr>
              <w:t>Corporate Level Salaries,</w:t>
            </w:r>
          </w:p>
          <w:p>
            <w:pPr>
              <w:pStyle w:val="TableParagraph"/>
              <w:spacing w:line="226" w:lineRule="exact" w:before="13"/>
              <w:ind w:left="225" w:right="236" w:hanging="1"/>
              <w:rPr>
                <w:b/>
                <w:sz w:val="20"/>
              </w:rPr>
            </w:pPr>
            <w:r>
              <w:rPr>
                <w:b/>
                <w:sz w:val="20"/>
              </w:rPr>
              <w:t>Company is in Multiple</w:t>
            </w:r>
            <w:r>
              <w:rPr>
                <w:b/>
                <w:spacing w:val="-7"/>
                <w:sz w:val="20"/>
              </w:rPr>
              <w:t> </w:t>
            </w:r>
            <w:r>
              <w:rPr>
                <w:b/>
                <w:sz w:val="20"/>
              </w:rPr>
              <w:t>States</w:t>
            </w:r>
          </w:p>
        </w:tc>
        <w:tc>
          <w:tcPr>
            <w:tcW w:w="1260" w:type="dxa"/>
            <w:shd w:val="clear" w:color="auto" w:fill="C0C0C0"/>
          </w:tcPr>
          <w:p>
            <w:pPr>
              <w:pStyle w:val="TableParagraph"/>
              <w:spacing w:before="1"/>
              <w:jc w:val="left"/>
              <w:rPr>
                <w:rFonts w:ascii="Times New Roman"/>
                <w:sz w:val="29"/>
              </w:rPr>
            </w:pPr>
          </w:p>
          <w:p>
            <w:pPr>
              <w:pStyle w:val="TableParagraph"/>
              <w:ind w:right="429"/>
              <w:jc w:val="right"/>
              <w:rPr>
                <w:b/>
                <w:sz w:val="20"/>
              </w:rPr>
            </w:pPr>
            <w:r>
              <w:rPr>
                <w:b/>
                <w:sz w:val="20"/>
              </w:rPr>
              <w:t>1294</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
              <w:jc w:val="left"/>
              <w:rPr>
                <w:rFonts w:ascii="Times New Roman"/>
                <w:sz w:val="29"/>
              </w:rPr>
            </w:pPr>
          </w:p>
          <w:p>
            <w:pPr>
              <w:pStyle w:val="TableParagraph"/>
              <w:ind w:right="64"/>
              <w:rPr>
                <w:b/>
                <w:sz w:val="20"/>
              </w:rPr>
            </w:pPr>
            <w:r>
              <w:rPr>
                <w:b/>
                <w:w w:val="97"/>
                <w:sz w:val="20"/>
              </w:rPr>
              <w:t>4</w:t>
            </w:r>
          </w:p>
        </w:tc>
      </w:tr>
      <w:tr>
        <w:trPr>
          <w:trHeight w:val="280" w:hRule="atLeast"/>
        </w:trPr>
        <w:tc>
          <w:tcPr>
            <w:tcW w:w="3358" w:type="dxa"/>
          </w:tcPr>
          <w:p>
            <w:pPr>
              <w:pStyle w:val="TableParagraph"/>
              <w:spacing w:before="33"/>
              <w:ind w:left="364"/>
              <w:jc w:val="left"/>
              <w:rPr>
                <w:b/>
                <w:sz w:val="20"/>
              </w:rPr>
            </w:pPr>
            <w:r>
              <w:rPr>
                <w:b/>
                <w:sz w:val="20"/>
              </w:rPr>
              <w:t>Fred Assaf, Head of School</w:t>
            </w:r>
          </w:p>
        </w:tc>
        <w:tc>
          <w:tcPr>
            <w:tcW w:w="1891" w:type="dxa"/>
          </w:tcPr>
          <w:p>
            <w:pPr>
              <w:pStyle w:val="TableParagraph"/>
              <w:spacing w:before="33"/>
              <w:ind w:left="148" w:right="158"/>
              <w:rPr>
                <w:b/>
                <w:sz w:val="20"/>
              </w:rPr>
            </w:pPr>
            <w:r>
              <w:rPr>
                <w:b/>
                <w:sz w:val="20"/>
              </w:rPr>
              <w:t>$748,598</w:t>
            </w:r>
          </w:p>
        </w:tc>
        <w:tc>
          <w:tcPr>
            <w:tcW w:w="1260" w:type="dxa"/>
          </w:tcPr>
          <w:p>
            <w:pPr>
              <w:pStyle w:val="TableParagraph"/>
              <w:jc w:val="left"/>
              <w:rPr>
                <w:rFonts w:ascii="Times New Roman"/>
                <w:sz w:val="18"/>
              </w:rPr>
            </w:pPr>
          </w:p>
        </w:tc>
        <w:tc>
          <w:tcPr>
            <w:tcW w:w="1620" w:type="dxa"/>
          </w:tcPr>
          <w:p>
            <w:pPr>
              <w:pStyle w:val="TableParagraph"/>
              <w:spacing w:before="33"/>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5" w:lineRule="auto" w:before="6"/>
              <w:ind w:left="1281" w:hanging="898"/>
              <w:jc w:val="left"/>
              <w:rPr>
                <w:b/>
                <w:sz w:val="20"/>
              </w:rPr>
            </w:pPr>
            <w:r>
              <w:rPr>
                <w:b/>
                <w:sz w:val="20"/>
              </w:rPr>
              <w:t>Kristen Palmerton, Athletic Director</w:t>
            </w:r>
          </w:p>
        </w:tc>
        <w:tc>
          <w:tcPr>
            <w:tcW w:w="1891" w:type="dxa"/>
          </w:tcPr>
          <w:p>
            <w:pPr>
              <w:pStyle w:val="TableParagraph"/>
              <w:spacing w:before="105"/>
              <w:ind w:left="148" w:right="158"/>
              <w:rPr>
                <w:b/>
                <w:sz w:val="20"/>
              </w:rPr>
            </w:pPr>
            <w:r>
              <w:rPr>
                <w:b/>
                <w:sz w:val="20"/>
              </w:rPr>
              <w:t>$183,127</w:t>
            </w:r>
          </w:p>
        </w:tc>
        <w:tc>
          <w:tcPr>
            <w:tcW w:w="1260" w:type="dxa"/>
          </w:tcPr>
          <w:p>
            <w:pPr>
              <w:pStyle w:val="TableParagraph"/>
              <w:jc w:val="left"/>
              <w:rPr>
                <w:rFonts w:ascii="Times New Roman"/>
                <w:sz w:val="18"/>
              </w:rPr>
            </w:pPr>
          </w:p>
        </w:tc>
        <w:tc>
          <w:tcPr>
            <w:tcW w:w="1620" w:type="dxa"/>
          </w:tcPr>
          <w:p>
            <w:pPr>
              <w:pStyle w:val="TableParagraph"/>
              <w:spacing w:line="225" w:lineRule="auto" w:before="6"/>
              <w:ind w:left="304" w:firstLine="324"/>
              <w:jc w:val="left"/>
              <w:rPr>
                <w:b/>
                <w:sz w:val="20"/>
              </w:rPr>
            </w:pPr>
            <w:r>
              <w:rPr>
                <w:b/>
                <w:sz w:val="20"/>
              </w:rPr>
              <w:t>Not </w:t>
            </w:r>
            <w:r>
              <w:rPr>
                <w:b/>
                <w:w w:val="95"/>
                <w:sz w:val="20"/>
              </w:rPr>
              <w:t>calculated</w:t>
            </w:r>
          </w:p>
        </w:tc>
        <w:tc>
          <w:tcPr>
            <w:tcW w:w="1261" w:type="dxa"/>
          </w:tcPr>
          <w:p>
            <w:pPr>
              <w:pStyle w:val="TableParagraph"/>
              <w:jc w:val="left"/>
              <w:rPr>
                <w:rFonts w:ascii="Times New Roman"/>
                <w:sz w:val="18"/>
              </w:rPr>
            </w:pPr>
          </w:p>
        </w:tc>
      </w:tr>
      <w:tr>
        <w:trPr>
          <w:trHeight w:val="820" w:hRule="atLeast"/>
        </w:trPr>
        <w:tc>
          <w:tcPr>
            <w:tcW w:w="3358" w:type="dxa"/>
          </w:tcPr>
          <w:p>
            <w:pPr>
              <w:pStyle w:val="TableParagraph"/>
              <w:spacing w:before="4"/>
              <w:jc w:val="left"/>
              <w:rPr>
                <w:rFonts w:ascii="Times New Roman"/>
                <w:sz w:val="25"/>
              </w:rPr>
            </w:pPr>
          </w:p>
          <w:p>
            <w:pPr>
              <w:pStyle w:val="TableParagraph"/>
              <w:ind w:left="899"/>
              <w:jc w:val="left"/>
              <w:rPr>
                <w:b/>
                <w:sz w:val="20"/>
              </w:rPr>
            </w:pPr>
            <w:r>
              <w:rPr>
                <w:b/>
                <w:sz w:val="20"/>
              </w:rPr>
              <w:t>Jean Held , CFO</w:t>
            </w:r>
          </w:p>
        </w:tc>
        <w:tc>
          <w:tcPr>
            <w:tcW w:w="1891" w:type="dxa"/>
          </w:tcPr>
          <w:p>
            <w:pPr>
              <w:pStyle w:val="TableParagraph"/>
              <w:spacing w:before="4"/>
              <w:jc w:val="left"/>
              <w:rPr>
                <w:rFonts w:ascii="Times New Roman"/>
                <w:sz w:val="25"/>
              </w:rPr>
            </w:pPr>
          </w:p>
          <w:p>
            <w:pPr>
              <w:pStyle w:val="TableParagraph"/>
              <w:ind w:left="148" w:right="158"/>
              <w:rPr>
                <w:b/>
                <w:sz w:val="20"/>
              </w:rPr>
            </w:pPr>
            <w:r>
              <w:rPr>
                <w:b/>
                <w:sz w:val="20"/>
              </w:rPr>
              <w:t>$155,110</w:t>
            </w:r>
          </w:p>
        </w:tc>
        <w:tc>
          <w:tcPr>
            <w:tcW w:w="1260" w:type="dxa"/>
          </w:tcPr>
          <w:p>
            <w:pPr>
              <w:pStyle w:val="TableParagraph"/>
              <w:jc w:val="left"/>
              <w:rPr>
                <w:rFonts w:ascii="Times New Roman"/>
                <w:sz w:val="18"/>
              </w:rPr>
            </w:pPr>
          </w:p>
        </w:tc>
        <w:tc>
          <w:tcPr>
            <w:tcW w:w="1620" w:type="dxa"/>
          </w:tcPr>
          <w:p>
            <w:pPr>
              <w:pStyle w:val="TableParagraph"/>
              <w:spacing w:before="4"/>
              <w:jc w:val="left"/>
              <w:rPr>
                <w:rFonts w:ascii="Times New Roman"/>
                <w:sz w:val="25"/>
              </w:rPr>
            </w:pPr>
          </w:p>
          <w:p>
            <w:pPr>
              <w:pStyle w:val="TableParagraph"/>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440" w:hRule="atLeast"/>
        </w:trPr>
        <w:tc>
          <w:tcPr>
            <w:tcW w:w="3358" w:type="dxa"/>
          </w:tcPr>
          <w:p>
            <w:pPr>
              <w:pStyle w:val="TableParagraph"/>
              <w:spacing w:line="216" w:lineRule="exact" w:before="7"/>
              <w:ind w:left="1331" w:right="242" w:hanging="1078"/>
              <w:jc w:val="left"/>
              <w:rPr>
                <w:b/>
                <w:sz w:val="20"/>
              </w:rPr>
            </w:pPr>
            <w:r>
              <w:rPr>
                <w:b/>
                <w:sz w:val="20"/>
              </w:rPr>
              <w:t>Anna Valerius, Head of Lower School</w:t>
            </w:r>
          </w:p>
        </w:tc>
        <w:tc>
          <w:tcPr>
            <w:tcW w:w="1891" w:type="dxa"/>
          </w:tcPr>
          <w:p>
            <w:pPr>
              <w:pStyle w:val="TableParagraph"/>
              <w:spacing w:before="105"/>
              <w:ind w:left="148" w:right="158"/>
              <w:rPr>
                <w:b/>
                <w:sz w:val="20"/>
              </w:rPr>
            </w:pPr>
            <w:r>
              <w:rPr>
                <w:b/>
                <w:sz w:val="20"/>
              </w:rPr>
              <w:t>$137,092</w:t>
            </w:r>
          </w:p>
        </w:tc>
        <w:tc>
          <w:tcPr>
            <w:tcW w:w="1260" w:type="dxa"/>
          </w:tcPr>
          <w:p>
            <w:pPr>
              <w:pStyle w:val="TableParagraph"/>
              <w:jc w:val="left"/>
              <w:rPr>
                <w:rFonts w:ascii="Times New Roman"/>
                <w:sz w:val="18"/>
              </w:rPr>
            </w:pPr>
          </w:p>
        </w:tc>
        <w:tc>
          <w:tcPr>
            <w:tcW w:w="1620" w:type="dxa"/>
          </w:tcPr>
          <w:p>
            <w:pPr>
              <w:pStyle w:val="TableParagraph"/>
              <w:spacing w:before="105"/>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253"/>
              <w:jc w:val="left"/>
              <w:rPr>
                <w:b/>
                <w:sz w:val="20"/>
              </w:rPr>
            </w:pPr>
            <w:r>
              <w:rPr>
                <w:b/>
                <w:sz w:val="20"/>
              </w:rPr>
              <w:t>Kimberly Steele-Haynes, CEO</w:t>
            </w:r>
          </w:p>
        </w:tc>
        <w:tc>
          <w:tcPr>
            <w:tcW w:w="1891" w:type="dxa"/>
          </w:tcPr>
          <w:p>
            <w:pPr>
              <w:pStyle w:val="TableParagraph"/>
              <w:spacing w:before="33"/>
              <w:ind w:left="150" w:right="157"/>
              <w:rPr>
                <w:b/>
                <w:sz w:val="20"/>
              </w:rPr>
            </w:pPr>
            <w:r>
              <w:rPr>
                <w:b/>
                <w:sz w:val="20"/>
              </w:rPr>
              <w:t>$89,840</w:t>
            </w:r>
          </w:p>
        </w:tc>
        <w:tc>
          <w:tcPr>
            <w:tcW w:w="1260" w:type="dxa"/>
          </w:tcPr>
          <w:p>
            <w:pPr>
              <w:pStyle w:val="TableParagraph"/>
              <w:jc w:val="left"/>
              <w:rPr>
                <w:rFonts w:ascii="Times New Roman"/>
                <w:sz w:val="18"/>
              </w:rPr>
            </w:pPr>
          </w:p>
        </w:tc>
        <w:tc>
          <w:tcPr>
            <w:tcW w:w="1620" w:type="dxa"/>
          </w:tcPr>
          <w:p>
            <w:pPr>
              <w:pStyle w:val="TableParagraph"/>
              <w:spacing w:before="33"/>
              <w:ind w:left="70" w:right="83"/>
              <w:rPr>
                <w:b/>
                <w:sz w:val="20"/>
              </w:rPr>
            </w:pPr>
            <w:r>
              <w:rPr>
                <w:b/>
                <w:sz w:val="20"/>
              </w:rPr>
              <w:t>Not calculated</w:t>
            </w:r>
          </w:p>
        </w:tc>
        <w:tc>
          <w:tcPr>
            <w:tcW w:w="1261" w:type="dxa"/>
          </w:tcPr>
          <w:p>
            <w:pPr>
              <w:pStyle w:val="TableParagraph"/>
              <w:jc w:val="left"/>
              <w:rPr>
                <w:rFonts w:ascii="Times New Roman"/>
                <w:sz w:val="18"/>
              </w:rPr>
            </w:pPr>
          </w:p>
        </w:tc>
      </w:tr>
      <w:tr>
        <w:trPr>
          <w:trHeight w:val="420" w:hRule="atLeast"/>
        </w:trPr>
        <w:tc>
          <w:tcPr>
            <w:tcW w:w="3358" w:type="dxa"/>
            <w:shd w:val="clear" w:color="auto" w:fill="C0C0C0"/>
          </w:tcPr>
          <w:p>
            <w:pPr>
              <w:pStyle w:val="TableParagraph"/>
              <w:spacing w:line="214" w:lineRule="exact" w:before="11"/>
              <w:ind w:left="949" w:right="387" w:hanging="497"/>
              <w:jc w:val="left"/>
              <w:rPr>
                <w:b/>
                <w:sz w:val="20"/>
              </w:rPr>
            </w:pPr>
            <w:r>
              <w:rPr>
                <w:b/>
                <w:sz w:val="20"/>
              </w:rPr>
              <w:t>Pan-American Elementary Charter School</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05"/>
              <w:ind w:right="429"/>
              <w:jc w:val="right"/>
              <w:rPr>
                <w:b/>
                <w:sz w:val="20"/>
              </w:rPr>
            </w:pPr>
            <w:r>
              <w:rPr>
                <w:b/>
                <w:sz w:val="20"/>
              </w:rPr>
              <w:t>641</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05"/>
              <w:ind w:left="43"/>
              <w:rPr>
                <w:b/>
                <w:sz w:val="20"/>
              </w:rPr>
            </w:pPr>
            <w:r>
              <w:rPr>
                <w:b/>
                <w:w w:val="97"/>
                <w:sz w:val="20"/>
              </w:rPr>
              <w:t>1</w:t>
            </w:r>
          </w:p>
        </w:tc>
      </w:tr>
      <w:tr>
        <w:trPr>
          <w:trHeight w:val="313" w:hRule="atLeast"/>
        </w:trPr>
        <w:tc>
          <w:tcPr>
            <w:tcW w:w="3358" w:type="dxa"/>
          </w:tcPr>
          <w:p>
            <w:pPr>
              <w:pStyle w:val="TableParagraph"/>
              <w:spacing w:before="40"/>
              <w:ind w:left="565"/>
              <w:jc w:val="left"/>
              <w:rPr>
                <w:b/>
                <w:sz w:val="20"/>
              </w:rPr>
            </w:pPr>
            <w:r>
              <w:rPr>
                <w:b/>
                <w:sz w:val="20"/>
              </w:rPr>
              <w:t>Marta Pasos, President</w:t>
            </w:r>
          </w:p>
        </w:tc>
        <w:tc>
          <w:tcPr>
            <w:tcW w:w="1891" w:type="dxa"/>
            <w:shd w:val="clear" w:color="auto" w:fill="FF0000"/>
          </w:tcPr>
          <w:p>
            <w:pPr>
              <w:pStyle w:val="TableParagraph"/>
              <w:spacing w:before="40"/>
              <w:ind w:left="148" w:right="158"/>
              <w:rPr>
                <w:b/>
                <w:sz w:val="20"/>
              </w:rPr>
            </w:pPr>
            <w:r>
              <w:rPr>
                <w:b/>
                <w:sz w:val="20"/>
              </w:rPr>
              <w:t>$168,780</w:t>
            </w:r>
          </w:p>
        </w:tc>
        <w:tc>
          <w:tcPr>
            <w:tcW w:w="1260" w:type="dxa"/>
            <w:shd w:val="clear" w:color="auto" w:fill="FF0000"/>
          </w:tcPr>
          <w:p>
            <w:pPr>
              <w:pStyle w:val="TableParagraph"/>
              <w:spacing w:before="40"/>
              <w:ind w:right="454"/>
              <w:jc w:val="right"/>
              <w:rPr>
                <w:b/>
                <w:sz w:val="20"/>
              </w:rPr>
            </w:pPr>
            <w:r>
              <w:rPr>
                <w:b/>
                <w:w w:val="90"/>
                <w:sz w:val="20"/>
              </w:rPr>
              <w:t>RP</w:t>
            </w:r>
          </w:p>
        </w:tc>
        <w:tc>
          <w:tcPr>
            <w:tcW w:w="1620" w:type="dxa"/>
            <w:shd w:val="clear" w:color="auto" w:fill="FF0000"/>
          </w:tcPr>
          <w:p>
            <w:pPr>
              <w:pStyle w:val="TableParagraph"/>
              <w:spacing w:before="40"/>
              <w:ind w:left="75" w:right="80"/>
              <w:rPr>
                <w:b/>
                <w:sz w:val="20"/>
              </w:rPr>
            </w:pPr>
            <w:r>
              <w:rPr>
                <w:b/>
                <w:sz w:val="20"/>
              </w:rPr>
              <w:t>$263</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16" w:lineRule="exact"/>
              <w:ind w:left="104" w:right="114"/>
              <w:rPr>
                <w:b/>
                <w:sz w:val="20"/>
              </w:rPr>
            </w:pPr>
            <w:r>
              <w:rPr>
                <w:b/>
                <w:sz w:val="20"/>
              </w:rPr>
              <w:t>Todd Wade, Assistant Principal</w:t>
            </w:r>
          </w:p>
          <w:p>
            <w:pPr>
              <w:pStyle w:val="TableParagraph"/>
              <w:spacing w:line="222" w:lineRule="exact"/>
              <w:ind w:left="112" w:right="114"/>
              <w:rPr>
                <w:b/>
                <w:sz w:val="20"/>
              </w:rPr>
            </w:pPr>
            <w:r>
              <w:rPr>
                <w:b/>
                <w:sz w:val="20"/>
              </w:rPr>
              <w:t>/Member</w:t>
            </w:r>
          </w:p>
        </w:tc>
        <w:tc>
          <w:tcPr>
            <w:tcW w:w="1891" w:type="dxa"/>
            <w:shd w:val="clear" w:color="auto" w:fill="FF0000"/>
          </w:tcPr>
          <w:p>
            <w:pPr>
              <w:pStyle w:val="TableParagraph"/>
              <w:spacing w:before="107"/>
              <w:ind w:left="148" w:right="158"/>
              <w:rPr>
                <w:b/>
                <w:sz w:val="20"/>
              </w:rPr>
            </w:pPr>
            <w:r>
              <w:rPr>
                <w:b/>
                <w:sz w:val="20"/>
              </w:rPr>
              <w:t>$101,868</w:t>
            </w:r>
          </w:p>
        </w:tc>
        <w:tc>
          <w:tcPr>
            <w:tcW w:w="1260" w:type="dxa"/>
            <w:shd w:val="clear" w:color="auto" w:fill="FF0000"/>
          </w:tcPr>
          <w:p>
            <w:pPr>
              <w:pStyle w:val="TableParagraph"/>
              <w:spacing w:before="107"/>
              <w:ind w:right="454"/>
              <w:jc w:val="right"/>
              <w:rPr>
                <w:b/>
                <w:sz w:val="20"/>
              </w:rPr>
            </w:pPr>
            <w:r>
              <w:rPr>
                <w:b/>
                <w:w w:val="90"/>
                <w:sz w:val="20"/>
              </w:rPr>
              <w:t>RP</w:t>
            </w:r>
          </w:p>
        </w:tc>
        <w:tc>
          <w:tcPr>
            <w:tcW w:w="1620" w:type="dxa"/>
            <w:shd w:val="clear" w:color="auto" w:fill="FF0000"/>
          </w:tcPr>
          <w:p>
            <w:pPr>
              <w:pStyle w:val="TableParagraph"/>
              <w:spacing w:before="107"/>
              <w:ind w:left="75" w:right="80"/>
              <w:rPr>
                <w:b/>
                <w:sz w:val="20"/>
              </w:rPr>
            </w:pPr>
            <w:r>
              <w:rPr>
                <w:b/>
                <w:sz w:val="20"/>
              </w:rPr>
              <w:t>$159</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393"/>
              <w:jc w:val="left"/>
              <w:rPr>
                <w:b/>
                <w:sz w:val="20"/>
              </w:rPr>
            </w:pPr>
            <w:r>
              <w:rPr>
                <w:b/>
                <w:sz w:val="20"/>
              </w:rPr>
              <w:t>Lois Pasos, Vice President</w:t>
            </w:r>
          </w:p>
        </w:tc>
        <w:tc>
          <w:tcPr>
            <w:tcW w:w="1891" w:type="dxa"/>
            <w:shd w:val="clear" w:color="auto" w:fill="FF0000"/>
          </w:tcPr>
          <w:p>
            <w:pPr>
              <w:pStyle w:val="TableParagraph"/>
              <w:spacing w:before="35"/>
              <w:ind w:left="148" w:right="158"/>
              <w:rPr>
                <w:b/>
                <w:sz w:val="20"/>
              </w:rPr>
            </w:pPr>
            <w:r>
              <w:rPr>
                <w:b/>
                <w:sz w:val="20"/>
              </w:rPr>
              <w:t>$136,379</w:t>
            </w:r>
          </w:p>
        </w:tc>
        <w:tc>
          <w:tcPr>
            <w:tcW w:w="1260" w:type="dxa"/>
            <w:shd w:val="clear" w:color="auto" w:fill="FF0000"/>
          </w:tcPr>
          <w:p>
            <w:pPr>
              <w:pStyle w:val="TableParagraph"/>
              <w:spacing w:before="35"/>
              <w:ind w:right="483"/>
              <w:jc w:val="right"/>
              <w:rPr>
                <w:b/>
                <w:sz w:val="20"/>
              </w:rPr>
            </w:pPr>
            <w:r>
              <w:rPr>
                <w:b/>
                <w:w w:val="90"/>
                <w:sz w:val="20"/>
              </w:rPr>
              <w:t>RP</w:t>
            </w:r>
          </w:p>
        </w:tc>
        <w:tc>
          <w:tcPr>
            <w:tcW w:w="1620" w:type="dxa"/>
            <w:shd w:val="clear" w:color="auto" w:fill="FF0000"/>
          </w:tcPr>
          <w:p>
            <w:pPr>
              <w:pStyle w:val="TableParagraph"/>
              <w:spacing w:before="35"/>
              <w:ind w:left="75" w:right="80"/>
              <w:rPr>
                <w:b/>
                <w:sz w:val="20"/>
              </w:rPr>
            </w:pPr>
            <w:r>
              <w:rPr>
                <w:b/>
                <w:sz w:val="20"/>
              </w:rPr>
              <w:t>$213</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726"/>
              <w:jc w:val="left"/>
              <w:rPr>
                <w:b/>
                <w:sz w:val="20"/>
              </w:rPr>
            </w:pPr>
            <w:r>
              <w:rPr>
                <w:b/>
                <w:sz w:val="20"/>
              </w:rPr>
              <w:t>Administrative Sum</w:t>
            </w:r>
          </w:p>
        </w:tc>
        <w:tc>
          <w:tcPr>
            <w:tcW w:w="1891" w:type="dxa"/>
            <w:shd w:val="clear" w:color="auto" w:fill="FF0000"/>
          </w:tcPr>
          <w:p>
            <w:pPr>
              <w:pStyle w:val="TableParagraph"/>
              <w:spacing w:before="33"/>
              <w:ind w:left="148" w:right="158"/>
              <w:rPr>
                <w:b/>
                <w:sz w:val="20"/>
              </w:rPr>
            </w:pPr>
            <w:r>
              <w:rPr>
                <w:b/>
                <w:sz w:val="20"/>
              </w:rPr>
              <w:t>$407,027</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3"/>
              <w:ind w:left="75" w:right="30"/>
              <w:rPr>
                <w:b/>
                <w:sz w:val="20"/>
              </w:rPr>
            </w:pPr>
            <w:r>
              <w:rPr>
                <w:b/>
                <w:sz w:val="20"/>
              </w:rPr>
              <w:t>$635</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6"/>
              <w:ind w:left="424"/>
              <w:jc w:val="left"/>
              <w:rPr>
                <w:b/>
                <w:sz w:val="20"/>
              </w:rPr>
            </w:pPr>
            <w:r>
              <w:rPr>
                <w:b/>
                <w:sz w:val="20"/>
              </w:rPr>
              <w:t>Paragon Management,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6"/>
              <w:ind w:right="429"/>
              <w:jc w:val="right"/>
              <w:rPr>
                <w:b/>
                <w:sz w:val="20"/>
              </w:rPr>
            </w:pPr>
            <w:r>
              <w:rPr>
                <w:b/>
                <w:sz w:val="20"/>
              </w:rPr>
              <w:t>1891</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6"/>
              <w:ind w:right="64"/>
              <w:rPr>
                <w:b/>
                <w:sz w:val="20"/>
              </w:rPr>
            </w:pPr>
            <w:r>
              <w:rPr>
                <w:b/>
                <w:w w:val="97"/>
                <w:sz w:val="20"/>
              </w:rPr>
              <w:t>2</w:t>
            </w:r>
          </w:p>
        </w:tc>
      </w:tr>
      <w:tr>
        <w:trPr>
          <w:trHeight w:val="460" w:hRule="atLeast"/>
        </w:trPr>
        <w:tc>
          <w:tcPr>
            <w:tcW w:w="3358" w:type="dxa"/>
          </w:tcPr>
          <w:p>
            <w:pPr>
              <w:pStyle w:val="TableParagraph"/>
              <w:spacing w:line="228" w:lineRule="exact" w:before="14"/>
              <w:ind w:left="786" w:right="775" w:firstLine="55"/>
              <w:jc w:val="left"/>
              <w:rPr>
                <w:b/>
                <w:sz w:val="20"/>
              </w:rPr>
            </w:pPr>
            <w:r>
              <w:rPr>
                <w:b/>
                <w:sz w:val="20"/>
              </w:rPr>
              <w:t>Patrick Schrader, Executive Director</w:t>
            </w:r>
          </w:p>
        </w:tc>
        <w:tc>
          <w:tcPr>
            <w:tcW w:w="1891" w:type="dxa"/>
            <w:shd w:val="clear" w:color="auto" w:fill="92D050"/>
          </w:tcPr>
          <w:p>
            <w:pPr>
              <w:pStyle w:val="TableParagraph"/>
              <w:spacing w:before="121"/>
              <w:ind w:left="150" w:right="157"/>
              <w:rPr>
                <w:b/>
                <w:sz w:val="20"/>
              </w:rPr>
            </w:pPr>
            <w:r>
              <w:rPr>
                <w:b/>
                <w:sz w:val="20"/>
              </w:rPr>
              <w:t>$77,831</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21"/>
              <w:ind w:left="75" w:right="80"/>
              <w:rPr>
                <w:b/>
                <w:sz w:val="20"/>
              </w:rPr>
            </w:pPr>
            <w:r>
              <w:rPr>
                <w:b/>
                <w:sz w:val="20"/>
              </w:rPr>
              <w:t>$41</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3" w:lineRule="auto" w:before="10"/>
              <w:ind w:left="515" w:right="502" w:firstLine="261"/>
              <w:jc w:val="left"/>
              <w:rPr>
                <w:b/>
                <w:sz w:val="20"/>
              </w:rPr>
            </w:pPr>
            <w:r>
              <w:rPr>
                <w:b/>
                <w:sz w:val="20"/>
              </w:rPr>
              <w:t>Timothy Gonzales, Asst. Executive Director</w:t>
            </w:r>
          </w:p>
        </w:tc>
        <w:tc>
          <w:tcPr>
            <w:tcW w:w="1891" w:type="dxa"/>
            <w:shd w:val="clear" w:color="auto" w:fill="92D050"/>
          </w:tcPr>
          <w:p>
            <w:pPr>
              <w:pStyle w:val="TableParagraph"/>
              <w:spacing w:before="107"/>
              <w:ind w:left="148" w:right="158"/>
              <w:rPr>
                <w:b/>
                <w:sz w:val="20"/>
              </w:rPr>
            </w:pPr>
            <w:r>
              <w:rPr>
                <w:b/>
                <w:sz w:val="20"/>
              </w:rPr>
              <w:t>$116,374</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07"/>
              <w:ind w:left="75" w:right="80"/>
              <w:rPr>
                <w:b/>
                <w:sz w:val="20"/>
              </w:rPr>
            </w:pPr>
            <w:r>
              <w:rPr>
                <w:b/>
                <w:sz w:val="20"/>
              </w:rPr>
              <w:t>$62</w:t>
            </w:r>
          </w:p>
        </w:tc>
        <w:tc>
          <w:tcPr>
            <w:tcW w:w="1261" w:type="dxa"/>
          </w:tcPr>
          <w:p>
            <w:pPr>
              <w:pStyle w:val="TableParagraph"/>
              <w:jc w:val="left"/>
              <w:rPr>
                <w:rFonts w:ascii="Times New Roman"/>
                <w:sz w:val="18"/>
              </w:rPr>
            </w:pPr>
          </w:p>
        </w:tc>
      </w:tr>
    </w:tbl>
    <w:p>
      <w:pPr>
        <w:spacing w:after="0"/>
        <w:jc w:val="left"/>
        <w:rPr>
          <w:rFonts w:ascii="Times New Roman"/>
          <w:sz w:val="18"/>
        </w:rPr>
        <w:sectPr>
          <w:pgSz w:w="12240" w:h="15840"/>
          <w:pgMar w:header="740" w:footer="1002" w:top="940" w:bottom="1200" w:left="1300" w:right="1300"/>
        </w:sectPr>
      </w:pPr>
    </w:p>
    <w:p>
      <w:pPr>
        <w:pStyle w:val="BodyText"/>
        <w:rPr>
          <w:rFonts w:ascii="Times New Roman"/>
          <w:sz w:val="20"/>
        </w:rPr>
      </w:pPr>
    </w:p>
    <w:p>
      <w:pPr>
        <w:pStyle w:val="BodyText"/>
        <w:spacing w:before="2"/>
        <w:rPr>
          <w:rFonts w:ascii="Times New Roman"/>
          <w:sz w:val="22"/>
        </w:rPr>
      </w:pP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4"/>
              <w:ind w:left="954"/>
              <w:jc w:val="left"/>
              <w:rPr>
                <w:b/>
                <w:sz w:val="20"/>
              </w:rPr>
            </w:pPr>
            <w:r>
              <w:rPr>
                <w:b/>
                <w:sz w:val="20"/>
              </w:rPr>
              <w:t>Name and Title</w:t>
            </w:r>
          </w:p>
        </w:tc>
        <w:tc>
          <w:tcPr>
            <w:tcW w:w="1891" w:type="dxa"/>
            <w:tcBorders>
              <w:bottom w:val="nil"/>
            </w:tcBorders>
            <w:shd w:val="clear" w:color="auto" w:fill="D99493"/>
          </w:tcPr>
          <w:p>
            <w:pPr>
              <w:pStyle w:val="TableParagraph"/>
              <w:spacing w:before="26"/>
              <w:ind w:left="148" w:right="158"/>
              <w:rPr>
                <w:b/>
                <w:sz w:val="20"/>
              </w:rPr>
            </w:pPr>
            <w:r>
              <w:rPr>
                <w:b/>
                <w:sz w:val="20"/>
              </w:rPr>
              <w:t>Salary 990</w:t>
            </w:r>
          </w:p>
        </w:tc>
        <w:tc>
          <w:tcPr>
            <w:tcW w:w="1260" w:type="dxa"/>
            <w:vMerge w:val="restart"/>
            <w:shd w:val="clear" w:color="auto" w:fill="D99493"/>
          </w:tcPr>
          <w:p>
            <w:pPr>
              <w:pStyle w:val="TableParagraph"/>
              <w:spacing w:before="78"/>
              <w:ind w:left="477" w:right="294" w:hanging="173"/>
              <w:jc w:val="left"/>
              <w:rPr>
                <w:b/>
                <w:sz w:val="20"/>
              </w:rPr>
            </w:pPr>
            <w:r>
              <w:rPr>
                <w:b/>
                <w:sz w:val="20"/>
              </w:rPr>
              <w:t># ADM RP</w:t>
            </w:r>
          </w:p>
        </w:tc>
        <w:tc>
          <w:tcPr>
            <w:tcW w:w="1620" w:type="dxa"/>
            <w:vMerge w:val="restart"/>
            <w:shd w:val="clear" w:color="auto" w:fill="D99493"/>
          </w:tcPr>
          <w:p>
            <w:pPr>
              <w:pStyle w:val="TableParagraph"/>
              <w:spacing w:before="194"/>
              <w:ind w:left="119"/>
              <w:jc w:val="left"/>
              <w:rPr>
                <w:b/>
                <w:sz w:val="20"/>
              </w:rPr>
            </w:pPr>
            <w:r>
              <w:rPr>
                <w:b/>
                <w:sz w:val="20"/>
                <w:u w:val="thick"/>
              </w:rPr>
              <w:t>Cost per Pupil</w:t>
            </w:r>
          </w:p>
        </w:tc>
        <w:tc>
          <w:tcPr>
            <w:tcW w:w="1261" w:type="dxa"/>
            <w:vMerge w:val="restart"/>
            <w:shd w:val="clear" w:color="auto" w:fill="D99493"/>
          </w:tcPr>
          <w:p>
            <w:pPr>
              <w:pStyle w:val="TableParagraph"/>
              <w:spacing w:before="194"/>
              <w:ind w:left="295"/>
              <w:jc w:val="left"/>
              <w:rPr>
                <w:b/>
                <w:sz w:val="20"/>
              </w:rPr>
            </w:pPr>
            <w:r>
              <w:rPr>
                <w:b/>
                <w:sz w:val="20"/>
              </w:rPr>
              <w:t># Sites</w:t>
            </w:r>
          </w:p>
        </w:tc>
      </w:tr>
      <w:tr>
        <w:trPr>
          <w:trHeight w:val="28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2"/>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460" w:hRule="atLeast"/>
        </w:trPr>
        <w:tc>
          <w:tcPr>
            <w:tcW w:w="3358" w:type="dxa"/>
          </w:tcPr>
          <w:p>
            <w:pPr>
              <w:pStyle w:val="TableParagraph"/>
              <w:spacing w:line="228" w:lineRule="exact" w:before="16"/>
              <w:ind w:left="875" w:right="864" w:firstLine="261"/>
              <w:jc w:val="left"/>
              <w:rPr>
                <w:b/>
                <w:sz w:val="20"/>
              </w:rPr>
            </w:pPr>
            <w:r>
              <w:rPr>
                <w:b/>
                <w:sz w:val="20"/>
              </w:rPr>
              <w:t>Dan Bigler, Finance Director</w:t>
            </w:r>
          </w:p>
        </w:tc>
        <w:tc>
          <w:tcPr>
            <w:tcW w:w="1891" w:type="dxa"/>
            <w:shd w:val="clear" w:color="auto" w:fill="92D050"/>
          </w:tcPr>
          <w:p>
            <w:pPr>
              <w:pStyle w:val="TableParagraph"/>
              <w:spacing w:before="126"/>
              <w:ind w:left="150" w:right="157"/>
              <w:rPr>
                <w:b/>
                <w:sz w:val="20"/>
              </w:rPr>
            </w:pPr>
            <w:r>
              <w:rPr>
                <w:b/>
                <w:sz w:val="20"/>
              </w:rPr>
              <w:t>$86,849</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26"/>
              <w:ind w:left="75" w:right="80"/>
              <w:rPr>
                <w:b/>
                <w:sz w:val="20"/>
              </w:rPr>
            </w:pPr>
            <w:r>
              <w:rPr>
                <w:b/>
                <w:sz w:val="20"/>
              </w:rPr>
              <w:t>$46</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3"/>
              <w:ind w:left="107" w:right="114"/>
              <w:rPr>
                <w:b/>
                <w:sz w:val="20"/>
              </w:rPr>
            </w:pPr>
            <w:r>
              <w:rPr>
                <w:b/>
                <w:sz w:val="20"/>
              </w:rPr>
              <w:t>Administrative Sum</w:t>
            </w:r>
          </w:p>
        </w:tc>
        <w:tc>
          <w:tcPr>
            <w:tcW w:w="1891" w:type="dxa"/>
            <w:shd w:val="clear" w:color="auto" w:fill="92D050"/>
          </w:tcPr>
          <w:p>
            <w:pPr>
              <w:pStyle w:val="TableParagraph"/>
              <w:spacing w:before="33"/>
              <w:ind w:left="148" w:right="158"/>
              <w:rPr>
                <w:b/>
                <w:sz w:val="20"/>
              </w:rPr>
            </w:pPr>
            <w:r>
              <w:rPr>
                <w:b/>
                <w:sz w:val="20"/>
              </w:rPr>
              <w:t>$281,054</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33"/>
              <w:ind w:left="75" w:right="80"/>
              <w:rPr>
                <w:b/>
                <w:sz w:val="20"/>
              </w:rPr>
            </w:pPr>
            <w:r>
              <w:rPr>
                <w:b/>
                <w:sz w:val="20"/>
              </w:rPr>
              <w:t>$149</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18"/>
              <w:ind w:left="149" w:right="107"/>
              <w:rPr>
                <w:b/>
                <w:sz w:val="20"/>
              </w:rPr>
            </w:pPr>
            <w:r>
              <w:rPr>
                <w:b/>
                <w:sz w:val="20"/>
              </w:rPr>
              <w:t>Patriot Academy,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8"/>
              <w:ind w:left="345" w:right="412"/>
              <w:rPr>
                <w:b/>
                <w:sz w:val="20"/>
              </w:rPr>
            </w:pPr>
            <w:r>
              <w:rPr>
                <w:b/>
                <w:sz w:val="20"/>
              </w:rPr>
              <w:t>85</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8"/>
              <w:ind w:right="64"/>
              <w:rPr>
                <w:b/>
                <w:sz w:val="20"/>
              </w:rPr>
            </w:pPr>
            <w:r>
              <w:rPr>
                <w:b/>
                <w:w w:val="97"/>
                <w:sz w:val="20"/>
              </w:rPr>
              <w:t>1</w:t>
            </w:r>
          </w:p>
        </w:tc>
      </w:tr>
      <w:tr>
        <w:trPr>
          <w:trHeight w:val="340" w:hRule="atLeast"/>
        </w:trPr>
        <w:tc>
          <w:tcPr>
            <w:tcW w:w="3358" w:type="dxa"/>
          </w:tcPr>
          <w:p>
            <w:pPr>
              <w:pStyle w:val="TableParagraph"/>
              <w:spacing w:before="47"/>
              <w:ind w:left="104" w:right="114"/>
              <w:rPr>
                <w:b/>
                <w:sz w:val="20"/>
              </w:rPr>
            </w:pPr>
            <w:r>
              <w:rPr>
                <w:b/>
                <w:sz w:val="20"/>
              </w:rPr>
              <w:t>Jay Brown, President</w:t>
            </w:r>
          </w:p>
        </w:tc>
        <w:tc>
          <w:tcPr>
            <w:tcW w:w="1891" w:type="dxa"/>
            <w:shd w:val="clear" w:color="auto" w:fill="FF0000"/>
          </w:tcPr>
          <w:p>
            <w:pPr>
              <w:pStyle w:val="TableParagraph"/>
              <w:spacing w:before="47"/>
              <w:ind w:left="148" w:right="158"/>
              <w:rPr>
                <w:b/>
                <w:sz w:val="20"/>
              </w:rPr>
            </w:pPr>
            <w:r>
              <w:rPr>
                <w:b/>
                <w:sz w:val="20"/>
              </w:rPr>
              <w:t>$114,400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47"/>
              <w:ind w:left="75" w:right="79"/>
              <w:rPr>
                <w:b/>
                <w:sz w:val="20"/>
              </w:rPr>
            </w:pPr>
            <w:r>
              <w:rPr>
                <w:b/>
                <w:sz w:val="20"/>
              </w:rPr>
              <w:t>$1,346</w:t>
            </w:r>
          </w:p>
        </w:tc>
        <w:tc>
          <w:tcPr>
            <w:tcW w:w="1261" w:type="dxa"/>
          </w:tcPr>
          <w:p>
            <w:pPr>
              <w:pStyle w:val="TableParagraph"/>
              <w:jc w:val="left"/>
              <w:rPr>
                <w:rFonts w:ascii="Times New Roman"/>
                <w:sz w:val="18"/>
              </w:rPr>
            </w:pPr>
          </w:p>
        </w:tc>
      </w:tr>
      <w:tr>
        <w:trPr>
          <w:trHeight w:val="420" w:hRule="atLeast"/>
        </w:trPr>
        <w:tc>
          <w:tcPr>
            <w:tcW w:w="3358" w:type="dxa"/>
            <w:shd w:val="clear" w:color="auto" w:fill="C0C0C0"/>
          </w:tcPr>
          <w:p>
            <w:pPr>
              <w:pStyle w:val="TableParagraph"/>
              <w:spacing w:before="90"/>
              <w:ind w:left="149" w:right="109"/>
              <w:rPr>
                <w:b/>
                <w:sz w:val="20"/>
              </w:rPr>
            </w:pPr>
            <w:r>
              <w:rPr>
                <w:b/>
                <w:sz w:val="20"/>
              </w:rPr>
              <w:t>Pima Prevention Partnership</w:t>
            </w:r>
          </w:p>
        </w:tc>
        <w:tc>
          <w:tcPr>
            <w:tcW w:w="1891" w:type="dxa"/>
            <w:shd w:val="clear" w:color="auto" w:fill="C0C0C0"/>
          </w:tcPr>
          <w:p>
            <w:pPr>
              <w:pStyle w:val="TableParagraph"/>
              <w:spacing w:line="199" w:lineRule="exact"/>
              <w:ind w:left="150" w:right="156"/>
              <w:rPr>
                <w:b/>
                <w:sz w:val="20"/>
              </w:rPr>
            </w:pPr>
            <w:r>
              <w:rPr>
                <w:b/>
                <w:sz w:val="20"/>
              </w:rPr>
              <w:t>Larger Agency</w:t>
            </w:r>
          </w:p>
          <w:p>
            <w:pPr>
              <w:pStyle w:val="TableParagraph"/>
              <w:spacing w:line="209" w:lineRule="exact"/>
              <w:ind w:left="150" w:right="158"/>
              <w:rPr>
                <w:b/>
                <w:sz w:val="20"/>
              </w:rPr>
            </w:pPr>
            <w:r>
              <w:rPr>
                <w:b/>
                <w:sz w:val="20"/>
              </w:rPr>
              <w:t>than School</w:t>
            </w:r>
          </w:p>
        </w:tc>
        <w:tc>
          <w:tcPr>
            <w:tcW w:w="1260" w:type="dxa"/>
            <w:shd w:val="clear" w:color="auto" w:fill="C0C0C0"/>
          </w:tcPr>
          <w:p>
            <w:pPr>
              <w:pStyle w:val="TableParagraph"/>
              <w:spacing w:before="90"/>
              <w:ind w:left="345" w:right="412"/>
              <w:rPr>
                <w:b/>
                <w:sz w:val="20"/>
              </w:rPr>
            </w:pPr>
            <w:r>
              <w:rPr>
                <w:b/>
                <w:sz w:val="20"/>
              </w:rPr>
              <w:t>530</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left="43"/>
              <w:rPr>
                <w:b/>
                <w:sz w:val="20"/>
              </w:rPr>
            </w:pPr>
            <w:r>
              <w:rPr>
                <w:b/>
                <w:w w:val="97"/>
                <w:sz w:val="20"/>
              </w:rPr>
              <w:t>3</w:t>
            </w:r>
          </w:p>
        </w:tc>
      </w:tr>
      <w:tr>
        <w:trPr>
          <w:trHeight w:val="460" w:hRule="atLeast"/>
        </w:trPr>
        <w:tc>
          <w:tcPr>
            <w:tcW w:w="3358" w:type="dxa"/>
          </w:tcPr>
          <w:p>
            <w:pPr>
              <w:pStyle w:val="TableParagraph"/>
              <w:spacing w:line="225" w:lineRule="auto" w:before="6"/>
              <w:ind w:left="993" w:right="775" w:hanging="65"/>
              <w:jc w:val="left"/>
              <w:rPr>
                <w:b/>
                <w:sz w:val="20"/>
              </w:rPr>
            </w:pPr>
            <w:r>
              <w:rPr>
                <w:b/>
                <w:sz w:val="20"/>
              </w:rPr>
              <w:t>Henry Kressler, Exec. Director</w:t>
            </w:r>
          </w:p>
        </w:tc>
        <w:tc>
          <w:tcPr>
            <w:tcW w:w="1891" w:type="dxa"/>
          </w:tcPr>
          <w:p>
            <w:pPr>
              <w:pStyle w:val="TableParagraph"/>
              <w:spacing w:before="105"/>
              <w:ind w:left="148" w:right="158"/>
              <w:rPr>
                <w:b/>
                <w:sz w:val="20"/>
              </w:rPr>
            </w:pPr>
            <w:r>
              <w:rPr>
                <w:b/>
                <w:sz w:val="20"/>
              </w:rPr>
              <w:t>$203,114</w:t>
            </w:r>
          </w:p>
        </w:tc>
        <w:tc>
          <w:tcPr>
            <w:tcW w:w="1260" w:type="dxa"/>
          </w:tcPr>
          <w:p>
            <w:pPr>
              <w:pStyle w:val="TableParagraph"/>
              <w:jc w:val="left"/>
              <w:rPr>
                <w:rFonts w:ascii="Times New Roman"/>
                <w:sz w:val="18"/>
              </w:rPr>
            </w:pPr>
          </w:p>
        </w:tc>
        <w:tc>
          <w:tcPr>
            <w:tcW w:w="1620" w:type="dxa"/>
          </w:tcPr>
          <w:p>
            <w:pPr>
              <w:pStyle w:val="TableParagraph"/>
              <w:spacing w:before="105"/>
              <w:ind w:left="75" w:right="83"/>
              <w:rPr>
                <w:b/>
                <w:sz w:val="20"/>
              </w:rPr>
            </w:pPr>
            <w:r>
              <w:rPr>
                <w:b/>
                <w:sz w:val="20"/>
              </w:rPr>
              <w:t>Not Calculated</w:t>
            </w:r>
          </w:p>
        </w:tc>
        <w:tc>
          <w:tcPr>
            <w:tcW w:w="1261" w:type="dxa"/>
          </w:tcPr>
          <w:p>
            <w:pPr>
              <w:pStyle w:val="TableParagraph"/>
              <w:jc w:val="left"/>
              <w:rPr>
                <w:rFonts w:ascii="Times New Roman"/>
                <w:sz w:val="18"/>
              </w:rPr>
            </w:pPr>
          </w:p>
        </w:tc>
      </w:tr>
      <w:tr>
        <w:trPr>
          <w:trHeight w:val="440" w:hRule="atLeast"/>
        </w:trPr>
        <w:tc>
          <w:tcPr>
            <w:tcW w:w="3358" w:type="dxa"/>
          </w:tcPr>
          <w:p>
            <w:pPr>
              <w:pStyle w:val="TableParagraph"/>
              <w:spacing w:line="216" w:lineRule="exact" w:before="7"/>
              <w:ind w:left="575" w:right="389" w:firstLine="417"/>
              <w:jc w:val="left"/>
              <w:rPr>
                <w:b/>
                <w:sz w:val="20"/>
              </w:rPr>
            </w:pPr>
            <w:r>
              <w:rPr>
                <w:b/>
                <w:sz w:val="20"/>
              </w:rPr>
              <w:t>Thomas Miller Assoc. Superintendent</w:t>
            </w:r>
          </w:p>
        </w:tc>
        <w:tc>
          <w:tcPr>
            <w:tcW w:w="1891" w:type="dxa"/>
          </w:tcPr>
          <w:p>
            <w:pPr>
              <w:pStyle w:val="TableParagraph"/>
              <w:spacing w:before="105"/>
              <w:ind w:left="148" w:right="158"/>
              <w:rPr>
                <w:b/>
                <w:sz w:val="20"/>
              </w:rPr>
            </w:pPr>
            <w:r>
              <w:rPr>
                <w:b/>
                <w:sz w:val="20"/>
              </w:rPr>
              <w:t>$146,808</w:t>
            </w:r>
          </w:p>
        </w:tc>
        <w:tc>
          <w:tcPr>
            <w:tcW w:w="1260" w:type="dxa"/>
          </w:tcPr>
          <w:p>
            <w:pPr>
              <w:pStyle w:val="TableParagraph"/>
              <w:jc w:val="left"/>
              <w:rPr>
                <w:rFonts w:ascii="Times New Roman"/>
                <w:sz w:val="18"/>
              </w:rPr>
            </w:pPr>
          </w:p>
        </w:tc>
        <w:tc>
          <w:tcPr>
            <w:tcW w:w="1620" w:type="dxa"/>
          </w:tcPr>
          <w:p>
            <w:pPr>
              <w:pStyle w:val="TableParagraph"/>
              <w:spacing w:before="105"/>
              <w:ind w:left="75" w:right="83"/>
              <w:rPr>
                <w:b/>
                <w:sz w:val="20"/>
              </w:rPr>
            </w:pPr>
            <w:r>
              <w:rPr>
                <w:b/>
                <w:sz w:val="20"/>
              </w:rPr>
              <w:t>Not Calculated</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3" w:lineRule="auto" w:before="8"/>
              <w:ind w:left="913" w:right="775" w:firstLine="48"/>
              <w:jc w:val="left"/>
              <w:rPr>
                <w:b/>
                <w:sz w:val="20"/>
              </w:rPr>
            </w:pPr>
            <w:r>
              <w:rPr>
                <w:b/>
                <w:sz w:val="20"/>
              </w:rPr>
              <w:t>Claire Sceuren Deputy Director</w:t>
            </w:r>
          </w:p>
        </w:tc>
        <w:tc>
          <w:tcPr>
            <w:tcW w:w="1891" w:type="dxa"/>
          </w:tcPr>
          <w:p>
            <w:pPr>
              <w:pStyle w:val="TableParagraph"/>
              <w:spacing w:before="105"/>
              <w:ind w:left="148" w:right="158"/>
              <w:rPr>
                <w:b/>
                <w:sz w:val="20"/>
              </w:rPr>
            </w:pPr>
            <w:r>
              <w:rPr>
                <w:b/>
                <w:sz w:val="20"/>
              </w:rPr>
              <w:t>$163,614</w:t>
            </w:r>
          </w:p>
        </w:tc>
        <w:tc>
          <w:tcPr>
            <w:tcW w:w="1260" w:type="dxa"/>
          </w:tcPr>
          <w:p>
            <w:pPr>
              <w:pStyle w:val="TableParagraph"/>
              <w:jc w:val="left"/>
              <w:rPr>
                <w:rFonts w:ascii="Times New Roman"/>
                <w:sz w:val="18"/>
              </w:rPr>
            </w:pPr>
          </w:p>
        </w:tc>
        <w:tc>
          <w:tcPr>
            <w:tcW w:w="1620" w:type="dxa"/>
          </w:tcPr>
          <w:p>
            <w:pPr>
              <w:pStyle w:val="TableParagraph"/>
              <w:spacing w:before="105"/>
              <w:ind w:left="75" w:right="83"/>
              <w:rPr>
                <w:b/>
                <w:sz w:val="20"/>
              </w:rPr>
            </w:pPr>
            <w:r>
              <w:rPr>
                <w:b/>
                <w:sz w:val="20"/>
              </w:rPr>
              <w:t>Not Calculated</w:t>
            </w:r>
          </w:p>
        </w:tc>
        <w:tc>
          <w:tcPr>
            <w:tcW w:w="1261" w:type="dxa"/>
          </w:tcPr>
          <w:p>
            <w:pPr>
              <w:pStyle w:val="TableParagraph"/>
              <w:jc w:val="left"/>
              <w:rPr>
                <w:rFonts w:ascii="Times New Roman"/>
                <w:sz w:val="18"/>
              </w:rPr>
            </w:pPr>
          </w:p>
        </w:tc>
      </w:tr>
      <w:tr>
        <w:trPr>
          <w:trHeight w:val="440" w:hRule="atLeast"/>
        </w:trPr>
        <w:tc>
          <w:tcPr>
            <w:tcW w:w="3358" w:type="dxa"/>
          </w:tcPr>
          <w:p>
            <w:pPr>
              <w:pStyle w:val="TableParagraph"/>
              <w:spacing w:line="223" w:lineRule="auto" w:before="8"/>
              <w:ind w:left="520" w:right="438" w:firstLine="388"/>
              <w:jc w:val="left"/>
              <w:rPr>
                <w:b/>
                <w:sz w:val="20"/>
              </w:rPr>
            </w:pPr>
            <w:r>
              <w:rPr>
                <w:b/>
                <w:sz w:val="20"/>
              </w:rPr>
              <w:t>Carol Carpenter Chief Program Designer</w:t>
            </w:r>
          </w:p>
        </w:tc>
        <w:tc>
          <w:tcPr>
            <w:tcW w:w="1891" w:type="dxa"/>
          </w:tcPr>
          <w:p>
            <w:pPr>
              <w:pStyle w:val="TableParagraph"/>
              <w:spacing w:before="105"/>
              <w:ind w:left="148" w:right="158"/>
              <w:rPr>
                <w:b/>
                <w:sz w:val="20"/>
              </w:rPr>
            </w:pPr>
            <w:r>
              <w:rPr>
                <w:b/>
                <w:sz w:val="20"/>
              </w:rPr>
              <w:t>$136,382</w:t>
            </w:r>
          </w:p>
        </w:tc>
        <w:tc>
          <w:tcPr>
            <w:tcW w:w="1260" w:type="dxa"/>
          </w:tcPr>
          <w:p>
            <w:pPr>
              <w:pStyle w:val="TableParagraph"/>
              <w:jc w:val="left"/>
              <w:rPr>
                <w:rFonts w:ascii="Times New Roman"/>
                <w:sz w:val="18"/>
              </w:rPr>
            </w:pPr>
          </w:p>
        </w:tc>
        <w:tc>
          <w:tcPr>
            <w:tcW w:w="1620" w:type="dxa"/>
          </w:tcPr>
          <w:p>
            <w:pPr>
              <w:pStyle w:val="TableParagraph"/>
              <w:spacing w:before="105"/>
              <w:ind w:left="75" w:right="83"/>
              <w:rPr>
                <w:b/>
                <w:sz w:val="20"/>
              </w:rPr>
            </w:pPr>
            <w:r>
              <w:rPr>
                <w:b/>
                <w:sz w:val="20"/>
              </w:rPr>
              <w:t>Not Calculated</w:t>
            </w:r>
          </w:p>
        </w:tc>
        <w:tc>
          <w:tcPr>
            <w:tcW w:w="1261" w:type="dxa"/>
          </w:tcPr>
          <w:p>
            <w:pPr>
              <w:pStyle w:val="TableParagraph"/>
              <w:jc w:val="left"/>
              <w:rPr>
                <w:rFonts w:ascii="Times New Roman"/>
                <w:sz w:val="18"/>
              </w:rPr>
            </w:pPr>
          </w:p>
        </w:tc>
      </w:tr>
      <w:tr>
        <w:trPr>
          <w:trHeight w:val="280" w:hRule="atLeast"/>
        </w:trPr>
        <w:tc>
          <w:tcPr>
            <w:tcW w:w="3358" w:type="dxa"/>
            <w:shd w:val="clear" w:color="auto" w:fill="C0C0C0"/>
          </w:tcPr>
          <w:p>
            <w:pPr>
              <w:pStyle w:val="TableParagraph"/>
              <w:spacing w:before="33"/>
              <w:ind w:left="149" w:right="108"/>
              <w:rPr>
                <w:b/>
                <w:sz w:val="20"/>
              </w:rPr>
            </w:pPr>
            <w:r>
              <w:rPr>
                <w:b/>
                <w:sz w:val="20"/>
              </w:rPr>
              <w:t>Pointe Educational Services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33"/>
              <w:ind w:right="429"/>
              <w:jc w:val="right"/>
              <w:rPr>
                <w:b/>
                <w:sz w:val="20"/>
              </w:rPr>
            </w:pPr>
            <w:r>
              <w:rPr>
                <w:b/>
                <w:sz w:val="20"/>
              </w:rPr>
              <w:t>1514</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33"/>
              <w:ind w:left="43"/>
              <w:rPr>
                <w:b/>
                <w:sz w:val="20"/>
              </w:rPr>
            </w:pPr>
            <w:r>
              <w:rPr>
                <w:b/>
                <w:w w:val="97"/>
                <w:sz w:val="20"/>
              </w:rPr>
              <w:t>3</w:t>
            </w:r>
          </w:p>
        </w:tc>
      </w:tr>
      <w:tr>
        <w:trPr>
          <w:trHeight w:val="480" w:hRule="atLeast"/>
        </w:trPr>
        <w:tc>
          <w:tcPr>
            <w:tcW w:w="3358" w:type="dxa"/>
          </w:tcPr>
          <w:p>
            <w:pPr>
              <w:pStyle w:val="TableParagraph"/>
              <w:spacing w:line="230" w:lineRule="atLeast" w:before="6"/>
              <w:ind w:left="933" w:hanging="754"/>
              <w:jc w:val="left"/>
              <w:rPr>
                <w:b/>
                <w:sz w:val="20"/>
              </w:rPr>
            </w:pPr>
            <w:r>
              <w:rPr>
                <w:b/>
                <w:sz w:val="20"/>
              </w:rPr>
              <w:t>Jody L Johnson, President and Superintendent</w:t>
            </w:r>
          </w:p>
        </w:tc>
        <w:tc>
          <w:tcPr>
            <w:tcW w:w="1891" w:type="dxa"/>
            <w:shd w:val="clear" w:color="auto" w:fill="92D050"/>
          </w:tcPr>
          <w:p>
            <w:pPr>
              <w:pStyle w:val="TableParagraph"/>
              <w:spacing w:before="119"/>
              <w:ind w:left="148" w:right="158"/>
              <w:rPr>
                <w:b/>
                <w:sz w:val="20"/>
              </w:rPr>
            </w:pPr>
            <w:r>
              <w:rPr>
                <w:b/>
                <w:sz w:val="20"/>
              </w:rPr>
              <w:t>$178,695</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119"/>
              <w:ind w:left="75" w:right="80"/>
              <w:rPr>
                <w:b/>
                <w:sz w:val="20"/>
              </w:rPr>
            </w:pPr>
            <w:r>
              <w:rPr>
                <w:b/>
                <w:sz w:val="20"/>
              </w:rPr>
              <w:t>$118</w:t>
            </w:r>
          </w:p>
        </w:tc>
        <w:tc>
          <w:tcPr>
            <w:tcW w:w="1261" w:type="dxa"/>
          </w:tcPr>
          <w:p>
            <w:pPr>
              <w:pStyle w:val="TableParagraph"/>
              <w:spacing w:before="119"/>
              <w:ind w:right="7"/>
              <w:rPr>
                <w:b/>
                <w:sz w:val="20"/>
              </w:rPr>
            </w:pPr>
            <w:r>
              <w:rPr>
                <w:b/>
                <w:w w:val="97"/>
                <w:sz w:val="20"/>
              </w:rPr>
              <w:t>3</w:t>
            </w:r>
          </w:p>
        </w:tc>
      </w:tr>
      <w:tr>
        <w:trPr>
          <w:trHeight w:val="420" w:hRule="atLeast"/>
        </w:trPr>
        <w:tc>
          <w:tcPr>
            <w:tcW w:w="3358" w:type="dxa"/>
            <w:shd w:val="clear" w:color="auto" w:fill="C0C0C0"/>
          </w:tcPr>
          <w:p>
            <w:pPr>
              <w:pStyle w:val="TableParagraph"/>
              <w:spacing w:line="201" w:lineRule="exact"/>
              <w:ind w:left="290" w:hanging="39"/>
              <w:jc w:val="left"/>
              <w:rPr>
                <w:b/>
                <w:sz w:val="20"/>
              </w:rPr>
            </w:pPr>
            <w:r>
              <w:rPr>
                <w:b/>
                <w:sz w:val="20"/>
              </w:rPr>
              <w:t>Portable Practical Educational</w:t>
            </w:r>
          </w:p>
          <w:p>
            <w:pPr>
              <w:pStyle w:val="TableParagraph"/>
              <w:spacing w:line="208" w:lineRule="exact"/>
              <w:ind w:left="290"/>
              <w:jc w:val="left"/>
              <w:rPr>
                <w:b/>
                <w:sz w:val="20"/>
              </w:rPr>
            </w:pPr>
            <w:r>
              <w:rPr>
                <w:b/>
                <w:sz w:val="20"/>
              </w:rPr>
              <w:t>Preparation, Inc. (PPEP,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right="345"/>
              <w:jc w:val="right"/>
              <w:rPr>
                <w:b/>
                <w:sz w:val="20"/>
              </w:rPr>
            </w:pPr>
            <w:r>
              <w:rPr>
                <w:b/>
                <w:sz w:val="20"/>
              </w:rPr>
              <w:t>10,806</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left="242" w:right="201"/>
              <w:rPr>
                <w:b/>
                <w:sz w:val="20"/>
              </w:rPr>
            </w:pPr>
            <w:r>
              <w:rPr>
                <w:b/>
                <w:sz w:val="20"/>
              </w:rPr>
              <w:t>10</w:t>
            </w:r>
          </w:p>
        </w:tc>
      </w:tr>
      <w:tr>
        <w:trPr>
          <w:trHeight w:val="300" w:hRule="atLeast"/>
        </w:trPr>
        <w:tc>
          <w:tcPr>
            <w:tcW w:w="3358" w:type="dxa"/>
          </w:tcPr>
          <w:p>
            <w:pPr>
              <w:pStyle w:val="TableParagraph"/>
              <w:spacing w:before="35"/>
              <w:ind w:left="104" w:right="114"/>
              <w:rPr>
                <w:b/>
                <w:sz w:val="20"/>
              </w:rPr>
            </w:pPr>
            <w:r>
              <w:rPr>
                <w:b/>
                <w:sz w:val="20"/>
              </w:rPr>
              <w:t>John Arnold, CEO</w:t>
            </w:r>
          </w:p>
        </w:tc>
        <w:tc>
          <w:tcPr>
            <w:tcW w:w="1891" w:type="dxa"/>
          </w:tcPr>
          <w:p>
            <w:pPr>
              <w:pStyle w:val="TableParagraph"/>
              <w:spacing w:before="35"/>
              <w:ind w:left="148" w:right="158"/>
              <w:rPr>
                <w:b/>
                <w:sz w:val="20"/>
              </w:rPr>
            </w:pPr>
            <w:r>
              <w:rPr>
                <w:b/>
                <w:sz w:val="20"/>
              </w:rPr>
              <w:t>$259,623</w:t>
            </w:r>
          </w:p>
        </w:tc>
        <w:tc>
          <w:tcPr>
            <w:tcW w:w="1260" w:type="dxa"/>
          </w:tcPr>
          <w:p>
            <w:pPr>
              <w:pStyle w:val="TableParagraph"/>
              <w:spacing w:before="35"/>
              <w:ind w:right="400"/>
              <w:jc w:val="right"/>
              <w:rPr>
                <w:b/>
                <w:sz w:val="20"/>
              </w:rPr>
            </w:pPr>
            <w:r>
              <w:rPr>
                <w:b/>
                <w:sz w:val="20"/>
              </w:rPr>
              <w:t>4580</w:t>
            </w:r>
          </w:p>
        </w:tc>
        <w:tc>
          <w:tcPr>
            <w:tcW w:w="1620" w:type="dxa"/>
          </w:tcPr>
          <w:p>
            <w:pPr>
              <w:pStyle w:val="TableParagraph"/>
              <w:spacing w:before="35"/>
              <w:ind w:left="21" w:right="83"/>
              <w:rPr>
                <w:b/>
                <w:sz w:val="20"/>
              </w:rPr>
            </w:pPr>
            <w:r>
              <w:rPr>
                <w:b/>
                <w:sz w:val="20"/>
              </w:rPr>
              <w:t>$24</w:t>
            </w:r>
          </w:p>
        </w:tc>
        <w:tc>
          <w:tcPr>
            <w:tcW w:w="1261" w:type="dxa"/>
          </w:tcPr>
          <w:p>
            <w:pPr>
              <w:pStyle w:val="TableParagraph"/>
              <w:jc w:val="left"/>
              <w:rPr>
                <w:rFonts w:ascii="Times New Roman"/>
                <w:sz w:val="18"/>
              </w:rPr>
            </w:pPr>
          </w:p>
        </w:tc>
      </w:tr>
      <w:tr>
        <w:trPr>
          <w:trHeight w:val="320" w:hRule="atLeast"/>
        </w:trPr>
        <w:tc>
          <w:tcPr>
            <w:tcW w:w="3358" w:type="dxa"/>
            <w:shd w:val="clear" w:color="auto" w:fill="C0C0C0"/>
          </w:tcPr>
          <w:p>
            <w:pPr>
              <w:pStyle w:val="TableParagraph"/>
              <w:spacing w:before="54"/>
              <w:ind w:left="105" w:right="114"/>
              <w:rPr>
                <w:b/>
                <w:sz w:val="20"/>
              </w:rPr>
            </w:pPr>
            <w:r>
              <w:rPr>
                <w:b/>
                <w:sz w:val="20"/>
              </w:rPr>
              <w:t>Presidio School</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54"/>
              <w:ind w:left="399" w:right="403"/>
              <w:rPr>
                <w:b/>
                <w:sz w:val="20"/>
              </w:rPr>
            </w:pPr>
            <w:r>
              <w:rPr>
                <w:b/>
                <w:sz w:val="20"/>
              </w:rPr>
              <w:t>393</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54"/>
              <w:ind w:right="7"/>
              <w:rPr>
                <w:b/>
                <w:sz w:val="20"/>
              </w:rPr>
            </w:pPr>
            <w:r>
              <w:rPr>
                <w:b/>
                <w:w w:val="97"/>
                <w:sz w:val="20"/>
              </w:rPr>
              <w:t>1</w:t>
            </w:r>
          </w:p>
        </w:tc>
      </w:tr>
      <w:tr>
        <w:trPr>
          <w:trHeight w:val="460" w:hRule="atLeast"/>
        </w:trPr>
        <w:tc>
          <w:tcPr>
            <w:tcW w:w="3358" w:type="dxa"/>
          </w:tcPr>
          <w:p>
            <w:pPr>
              <w:pStyle w:val="TableParagraph"/>
              <w:spacing w:line="228" w:lineRule="exact" w:before="14"/>
              <w:ind w:left="633" w:right="653" w:firstLine="55"/>
              <w:jc w:val="left"/>
              <w:rPr>
                <w:b/>
                <w:sz w:val="20"/>
              </w:rPr>
            </w:pPr>
            <w:r>
              <w:rPr>
                <w:b/>
                <w:sz w:val="20"/>
              </w:rPr>
              <w:t>Thomas Drexel, Vice </w:t>
            </w:r>
            <w:r>
              <w:rPr>
                <w:b/>
                <w:w w:val="95"/>
                <w:sz w:val="20"/>
              </w:rPr>
              <w:t>President/Co-Director</w:t>
            </w:r>
          </w:p>
        </w:tc>
        <w:tc>
          <w:tcPr>
            <w:tcW w:w="1891" w:type="dxa"/>
            <w:shd w:val="clear" w:color="auto" w:fill="FF0000"/>
          </w:tcPr>
          <w:p>
            <w:pPr>
              <w:pStyle w:val="TableParagraph"/>
              <w:spacing w:before="119"/>
              <w:ind w:left="148" w:right="158"/>
              <w:rPr>
                <w:b/>
                <w:sz w:val="20"/>
              </w:rPr>
            </w:pPr>
            <w:r>
              <w:rPr>
                <w:b/>
                <w:sz w:val="20"/>
              </w:rPr>
              <w:t>$128,440</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19"/>
              <w:ind w:left="75" w:right="80"/>
              <w:rPr>
                <w:b/>
                <w:sz w:val="20"/>
              </w:rPr>
            </w:pPr>
            <w:r>
              <w:rPr>
                <w:b/>
                <w:sz w:val="20"/>
              </w:rPr>
              <w:t>$327</w:t>
            </w:r>
          </w:p>
        </w:tc>
        <w:tc>
          <w:tcPr>
            <w:tcW w:w="1261" w:type="dxa"/>
          </w:tcPr>
          <w:p>
            <w:pPr>
              <w:pStyle w:val="TableParagraph"/>
              <w:jc w:val="left"/>
              <w:rPr>
                <w:rFonts w:ascii="Times New Roman"/>
                <w:sz w:val="18"/>
              </w:rPr>
            </w:pPr>
          </w:p>
        </w:tc>
      </w:tr>
      <w:tr>
        <w:trPr>
          <w:trHeight w:val="460" w:hRule="atLeast"/>
        </w:trPr>
        <w:tc>
          <w:tcPr>
            <w:tcW w:w="3358" w:type="dxa"/>
          </w:tcPr>
          <w:p>
            <w:pPr>
              <w:pStyle w:val="TableParagraph"/>
              <w:spacing w:line="221" w:lineRule="exact"/>
              <w:ind w:left="104" w:right="114"/>
              <w:rPr>
                <w:b/>
                <w:sz w:val="20"/>
              </w:rPr>
            </w:pPr>
            <w:r>
              <w:rPr>
                <w:b/>
                <w:sz w:val="20"/>
              </w:rPr>
              <w:t>Terry Garza, Secretary / Co-</w:t>
            </w:r>
          </w:p>
          <w:p>
            <w:pPr>
              <w:pStyle w:val="TableParagraph"/>
              <w:spacing w:line="219" w:lineRule="exact"/>
              <w:ind w:left="107" w:right="114"/>
              <w:rPr>
                <w:b/>
                <w:sz w:val="20"/>
              </w:rPr>
            </w:pPr>
            <w:r>
              <w:rPr>
                <w:b/>
                <w:sz w:val="20"/>
              </w:rPr>
              <w:t>Director</w:t>
            </w:r>
          </w:p>
        </w:tc>
        <w:tc>
          <w:tcPr>
            <w:tcW w:w="1891" w:type="dxa"/>
            <w:shd w:val="clear" w:color="auto" w:fill="FF0000"/>
          </w:tcPr>
          <w:p>
            <w:pPr>
              <w:pStyle w:val="TableParagraph"/>
              <w:spacing w:before="102"/>
              <w:ind w:left="148" w:right="158"/>
              <w:rPr>
                <w:b/>
                <w:sz w:val="20"/>
              </w:rPr>
            </w:pPr>
            <w:r>
              <w:rPr>
                <w:b/>
                <w:sz w:val="20"/>
              </w:rPr>
              <w:t>$122,822</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102"/>
              <w:ind w:left="75" w:right="80"/>
              <w:rPr>
                <w:b/>
                <w:sz w:val="20"/>
              </w:rPr>
            </w:pPr>
            <w:r>
              <w:rPr>
                <w:b/>
                <w:sz w:val="20"/>
              </w:rPr>
              <w:t>$313</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0"/>
              <w:ind w:left="107" w:right="114"/>
              <w:rPr>
                <w:b/>
                <w:sz w:val="20"/>
              </w:rPr>
            </w:pPr>
            <w:r>
              <w:rPr>
                <w:b/>
                <w:sz w:val="20"/>
              </w:rPr>
              <w:t>Administrative Sum</w:t>
            </w:r>
          </w:p>
        </w:tc>
        <w:tc>
          <w:tcPr>
            <w:tcW w:w="1891" w:type="dxa"/>
            <w:shd w:val="clear" w:color="auto" w:fill="FF0000"/>
          </w:tcPr>
          <w:p>
            <w:pPr>
              <w:pStyle w:val="TableParagraph"/>
              <w:spacing w:before="30"/>
              <w:ind w:left="148" w:right="158"/>
              <w:rPr>
                <w:b/>
                <w:sz w:val="20"/>
              </w:rPr>
            </w:pPr>
            <w:r>
              <w:rPr>
                <w:b/>
                <w:sz w:val="20"/>
              </w:rPr>
              <w:t>$251,262</w:t>
            </w:r>
          </w:p>
        </w:tc>
        <w:tc>
          <w:tcPr>
            <w:tcW w:w="1260" w:type="dxa"/>
            <w:shd w:val="clear" w:color="auto" w:fill="FF0000"/>
          </w:tcPr>
          <w:p>
            <w:pPr>
              <w:pStyle w:val="TableParagraph"/>
              <w:jc w:val="left"/>
              <w:rPr>
                <w:rFonts w:ascii="Times New Roman"/>
                <w:sz w:val="18"/>
              </w:rPr>
            </w:pPr>
          </w:p>
        </w:tc>
        <w:tc>
          <w:tcPr>
            <w:tcW w:w="1620" w:type="dxa"/>
            <w:shd w:val="clear" w:color="auto" w:fill="FF0000"/>
          </w:tcPr>
          <w:p>
            <w:pPr>
              <w:pStyle w:val="TableParagraph"/>
              <w:spacing w:before="30"/>
              <w:ind w:left="75" w:right="80"/>
              <w:rPr>
                <w:b/>
                <w:sz w:val="20"/>
              </w:rPr>
            </w:pPr>
            <w:r>
              <w:rPr>
                <w:b/>
                <w:sz w:val="20"/>
              </w:rPr>
              <w:t>$639</w:t>
            </w:r>
          </w:p>
        </w:tc>
        <w:tc>
          <w:tcPr>
            <w:tcW w:w="1261" w:type="dxa"/>
          </w:tcPr>
          <w:p>
            <w:pPr>
              <w:pStyle w:val="TableParagraph"/>
              <w:jc w:val="left"/>
              <w:rPr>
                <w:rFonts w:ascii="Times New Roman"/>
                <w:sz w:val="18"/>
              </w:rPr>
            </w:pPr>
          </w:p>
        </w:tc>
      </w:tr>
      <w:tr>
        <w:trPr>
          <w:trHeight w:val="1580" w:hRule="atLeast"/>
        </w:trPr>
        <w:tc>
          <w:tcPr>
            <w:tcW w:w="3358" w:type="dxa"/>
            <w:shd w:val="clear" w:color="auto" w:fill="C0C0C0"/>
          </w:tcPr>
          <w:p>
            <w:pPr>
              <w:pStyle w:val="TableParagraph"/>
              <w:jc w:val="left"/>
              <w:rPr>
                <w:rFonts w:ascii="Times New Roman"/>
                <w:sz w:val="22"/>
              </w:rPr>
            </w:pPr>
          </w:p>
          <w:p>
            <w:pPr>
              <w:pStyle w:val="TableParagraph"/>
              <w:spacing w:before="183"/>
              <w:ind w:left="1321" w:right="231" w:hanging="1080"/>
              <w:jc w:val="left"/>
              <w:rPr>
                <w:b/>
                <w:sz w:val="20"/>
              </w:rPr>
            </w:pPr>
            <w:r>
              <w:rPr>
                <w:b/>
                <w:sz w:val="20"/>
              </w:rPr>
              <w:t>Primavera Technical Learning Center</w:t>
            </w:r>
          </w:p>
        </w:tc>
        <w:tc>
          <w:tcPr>
            <w:tcW w:w="1891" w:type="dxa"/>
            <w:shd w:val="clear" w:color="auto" w:fill="C0C0C0"/>
          </w:tcPr>
          <w:p>
            <w:pPr>
              <w:pStyle w:val="TableParagraph"/>
              <w:spacing w:line="215" w:lineRule="exact"/>
              <w:ind w:left="150" w:right="157"/>
              <w:rPr>
                <w:b/>
                <w:sz w:val="20"/>
              </w:rPr>
            </w:pPr>
            <w:r>
              <w:rPr>
                <w:b/>
                <w:sz w:val="20"/>
              </w:rPr>
              <w:t>Listed as</w:t>
            </w:r>
          </w:p>
          <w:p>
            <w:pPr>
              <w:pStyle w:val="TableParagraph"/>
              <w:ind w:left="306" w:right="320" w:firstLine="3"/>
              <w:rPr>
                <w:b/>
                <w:sz w:val="20"/>
              </w:rPr>
            </w:pPr>
            <w:r>
              <w:rPr>
                <w:b/>
                <w:sz w:val="20"/>
              </w:rPr>
              <w:t>Salaries: FIGURES DO</w:t>
            </w:r>
          </w:p>
          <w:p>
            <w:pPr>
              <w:pStyle w:val="TableParagraph"/>
              <w:spacing w:before="12"/>
              <w:ind w:left="254" w:right="263" w:firstLine="3"/>
              <w:rPr>
                <w:b/>
                <w:sz w:val="20"/>
              </w:rPr>
            </w:pPr>
            <w:r>
              <w:rPr>
                <w:b/>
                <w:sz w:val="20"/>
              </w:rPr>
              <w:t>NOT cover all </w:t>
            </w:r>
            <w:r>
              <w:rPr>
                <w:b/>
                <w:w w:val="95"/>
                <w:sz w:val="20"/>
              </w:rPr>
              <w:t>compensation </w:t>
            </w:r>
            <w:r>
              <w:rPr>
                <w:b/>
                <w:sz w:val="20"/>
              </w:rPr>
              <w:t>of</w:t>
            </w:r>
          </w:p>
          <w:p>
            <w:pPr>
              <w:pStyle w:val="TableParagraph"/>
              <w:spacing w:line="199" w:lineRule="exact"/>
              <w:ind w:left="150" w:right="155"/>
              <w:rPr>
                <w:b/>
                <w:sz w:val="20"/>
              </w:rPr>
            </w:pPr>
            <w:r>
              <w:rPr>
                <w:b/>
                <w:sz w:val="20"/>
              </w:rPr>
              <w:t>the owners.</w:t>
            </w:r>
          </w:p>
        </w:tc>
        <w:tc>
          <w:tcPr>
            <w:tcW w:w="1260" w:type="dxa"/>
            <w:shd w:val="clear" w:color="auto" w:fill="C0C0C0"/>
          </w:tcPr>
          <w:p>
            <w:pPr>
              <w:pStyle w:val="TableParagraph"/>
              <w:jc w:val="left"/>
              <w:rPr>
                <w:rFonts w:ascii="Times New Roman"/>
                <w:sz w:val="22"/>
              </w:rPr>
            </w:pPr>
          </w:p>
          <w:p>
            <w:pPr>
              <w:pStyle w:val="TableParagraph"/>
              <w:spacing w:before="10"/>
              <w:jc w:val="left"/>
              <w:rPr>
                <w:rFonts w:ascii="Times New Roman"/>
                <w:sz w:val="25"/>
              </w:rPr>
            </w:pPr>
          </w:p>
          <w:p>
            <w:pPr>
              <w:pStyle w:val="TableParagraph"/>
              <w:ind w:right="429"/>
              <w:jc w:val="right"/>
              <w:rPr>
                <w:b/>
                <w:sz w:val="20"/>
              </w:rPr>
            </w:pPr>
            <w:r>
              <w:rPr>
                <w:b/>
                <w:sz w:val="20"/>
              </w:rPr>
              <w:t>5172</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jc w:val="left"/>
              <w:rPr>
                <w:rFonts w:ascii="Times New Roman"/>
                <w:sz w:val="22"/>
              </w:rPr>
            </w:pPr>
          </w:p>
          <w:p>
            <w:pPr>
              <w:pStyle w:val="TableParagraph"/>
              <w:spacing w:before="10"/>
              <w:jc w:val="left"/>
              <w:rPr>
                <w:rFonts w:ascii="Times New Roman"/>
                <w:sz w:val="25"/>
              </w:rPr>
            </w:pPr>
          </w:p>
          <w:p>
            <w:pPr>
              <w:pStyle w:val="TableParagraph"/>
              <w:ind w:left="141" w:right="201"/>
              <w:rPr>
                <w:b/>
                <w:sz w:val="20"/>
              </w:rPr>
            </w:pPr>
            <w:r>
              <w:rPr>
                <w:b/>
                <w:sz w:val="20"/>
              </w:rPr>
              <w:t>Online</w:t>
            </w:r>
          </w:p>
        </w:tc>
      </w:tr>
      <w:tr>
        <w:trPr>
          <w:trHeight w:val="300" w:hRule="atLeast"/>
        </w:trPr>
        <w:tc>
          <w:tcPr>
            <w:tcW w:w="3358" w:type="dxa"/>
          </w:tcPr>
          <w:p>
            <w:pPr>
              <w:pStyle w:val="TableParagraph"/>
              <w:spacing w:before="35"/>
              <w:ind w:left="108" w:right="114"/>
              <w:rPr>
                <w:b/>
                <w:sz w:val="20"/>
              </w:rPr>
            </w:pPr>
            <w:r>
              <w:rPr>
                <w:b/>
                <w:sz w:val="20"/>
              </w:rPr>
              <w:t>Debra Bender, Principal</w:t>
            </w:r>
          </w:p>
        </w:tc>
        <w:tc>
          <w:tcPr>
            <w:tcW w:w="1891" w:type="dxa"/>
          </w:tcPr>
          <w:p>
            <w:pPr>
              <w:pStyle w:val="TableParagraph"/>
              <w:spacing w:before="35"/>
              <w:ind w:left="148" w:right="158"/>
              <w:rPr>
                <w:b/>
                <w:sz w:val="20"/>
              </w:rPr>
            </w:pPr>
            <w:r>
              <w:rPr>
                <w:b/>
                <w:sz w:val="20"/>
              </w:rPr>
              <w:t>$131,876</w:t>
            </w:r>
          </w:p>
        </w:tc>
        <w:tc>
          <w:tcPr>
            <w:tcW w:w="1260" w:type="dxa"/>
          </w:tcPr>
          <w:p>
            <w:pPr>
              <w:pStyle w:val="TableParagraph"/>
              <w:jc w:val="left"/>
              <w:rPr>
                <w:rFonts w:ascii="Times New Roman"/>
                <w:sz w:val="18"/>
              </w:rPr>
            </w:pPr>
          </w:p>
        </w:tc>
        <w:tc>
          <w:tcPr>
            <w:tcW w:w="1620" w:type="dxa"/>
          </w:tcPr>
          <w:p>
            <w:pPr>
              <w:pStyle w:val="TableParagraph"/>
              <w:spacing w:before="35"/>
              <w:ind w:left="75" w:right="80"/>
              <w:rPr>
                <w:b/>
                <w:sz w:val="20"/>
              </w:rPr>
            </w:pPr>
            <w:r>
              <w:rPr>
                <w:b/>
                <w:sz w:val="20"/>
              </w:rPr>
              <w:t>$25</w:t>
            </w:r>
          </w:p>
        </w:tc>
        <w:tc>
          <w:tcPr>
            <w:tcW w:w="1261" w:type="dxa"/>
          </w:tcPr>
          <w:p>
            <w:pPr>
              <w:pStyle w:val="TableParagraph"/>
              <w:spacing w:before="35"/>
              <w:ind w:left="199" w:right="201"/>
              <w:rPr>
                <w:b/>
                <w:sz w:val="20"/>
              </w:rPr>
            </w:pPr>
            <w:r>
              <w:rPr>
                <w:b/>
                <w:sz w:val="20"/>
              </w:rPr>
              <w:t>Online</w:t>
            </w:r>
          </w:p>
        </w:tc>
      </w:tr>
      <w:tr>
        <w:trPr>
          <w:trHeight w:val="460" w:hRule="atLeast"/>
        </w:trPr>
        <w:tc>
          <w:tcPr>
            <w:tcW w:w="3358" w:type="dxa"/>
          </w:tcPr>
          <w:p>
            <w:pPr>
              <w:pStyle w:val="TableParagraph"/>
              <w:spacing w:line="223" w:lineRule="auto" w:before="8"/>
              <w:ind w:left="805" w:right="745" w:firstLine="144"/>
              <w:jc w:val="left"/>
              <w:rPr>
                <w:b/>
                <w:sz w:val="20"/>
              </w:rPr>
            </w:pPr>
            <w:r>
              <w:rPr>
                <w:b/>
                <w:sz w:val="20"/>
              </w:rPr>
              <w:t>Brian Madison, Business Manager</w:t>
            </w:r>
          </w:p>
        </w:tc>
        <w:tc>
          <w:tcPr>
            <w:tcW w:w="1891" w:type="dxa"/>
          </w:tcPr>
          <w:p>
            <w:pPr>
              <w:pStyle w:val="TableParagraph"/>
              <w:spacing w:before="105"/>
              <w:ind w:left="148" w:right="158"/>
              <w:rPr>
                <w:b/>
                <w:sz w:val="20"/>
              </w:rPr>
            </w:pPr>
            <w:r>
              <w:rPr>
                <w:b/>
                <w:sz w:val="20"/>
              </w:rPr>
              <w:t>$106,524</w:t>
            </w:r>
          </w:p>
        </w:tc>
        <w:tc>
          <w:tcPr>
            <w:tcW w:w="1260" w:type="dxa"/>
          </w:tcPr>
          <w:p>
            <w:pPr>
              <w:pStyle w:val="TableParagraph"/>
              <w:jc w:val="left"/>
              <w:rPr>
                <w:rFonts w:ascii="Times New Roman"/>
                <w:sz w:val="18"/>
              </w:rPr>
            </w:pPr>
          </w:p>
        </w:tc>
        <w:tc>
          <w:tcPr>
            <w:tcW w:w="1620" w:type="dxa"/>
          </w:tcPr>
          <w:p>
            <w:pPr>
              <w:pStyle w:val="TableParagraph"/>
              <w:spacing w:before="105"/>
              <w:ind w:left="75" w:right="80"/>
              <w:rPr>
                <w:b/>
                <w:sz w:val="20"/>
              </w:rPr>
            </w:pPr>
            <w:r>
              <w:rPr>
                <w:b/>
                <w:sz w:val="20"/>
              </w:rPr>
              <w:t>$21</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106" w:right="114"/>
              <w:rPr>
                <w:b/>
                <w:sz w:val="20"/>
              </w:rPr>
            </w:pPr>
            <w:r>
              <w:rPr>
                <w:b/>
                <w:sz w:val="20"/>
              </w:rPr>
              <w:t>Maveromien Creamer, COO</w:t>
            </w:r>
          </w:p>
        </w:tc>
        <w:tc>
          <w:tcPr>
            <w:tcW w:w="1891" w:type="dxa"/>
          </w:tcPr>
          <w:p>
            <w:pPr>
              <w:pStyle w:val="TableParagraph"/>
              <w:spacing w:before="33"/>
              <w:ind w:left="148" w:right="158"/>
              <w:rPr>
                <w:b/>
                <w:sz w:val="20"/>
              </w:rPr>
            </w:pPr>
            <w:r>
              <w:rPr>
                <w:b/>
                <w:sz w:val="20"/>
              </w:rPr>
              <w:t>$110,037</w:t>
            </w:r>
          </w:p>
        </w:tc>
        <w:tc>
          <w:tcPr>
            <w:tcW w:w="1260" w:type="dxa"/>
          </w:tcPr>
          <w:p>
            <w:pPr>
              <w:pStyle w:val="TableParagraph"/>
              <w:spacing w:before="33"/>
              <w:ind w:left="399" w:right="405"/>
              <w:rPr>
                <w:b/>
                <w:sz w:val="20"/>
              </w:rPr>
            </w:pPr>
            <w:r>
              <w:rPr>
                <w:b/>
                <w:sz w:val="20"/>
              </w:rPr>
              <w:t>RP</w:t>
            </w:r>
          </w:p>
        </w:tc>
        <w:tc>
          <w:tcPr>
            <w:tcW w:w="1620" w:type="dxa"/>
          </w:tcPr>
          <w:p>
            <w:pPr>
              <w:pStyle w:val="TableParagraph"/>
              <w:spacing w:before="33"/>
              <w:ind w:left="75" w:right="80"/>
              <w:rPr>
                <w:b/>
                <w:sz w:val="20"/>
              </w:rPr>
            </w:pPr>
            <w:r>
              <w:rPr>
                <w:b/>
                <w:sz w:val="20"/>
              </w:rPr>
              <w:t>$21</w:t>
            </w:r>
          </w:p>
        </w:tc>
        <w:tc>
          <w:tcPr>
            <w:tcW w:w="1261" w:type="dxa"/>
          </w:tcPr>
          <w:p>
            <w:pPr>
              <w:pStyle w:val="TableParagraph"/>
              <w:jc w:val="left"/>
              <w:rPr>
                <w:rFonts w:ascii="Times New Roman"/>
                <w:sz w:val="18"/>
              </w:rPr>
            </w:pPr>
          </w:p>
        </w:tc>
      </w:tr>
      <w:tr>
        <w:trPr>
          <w:trHeight w:val="280" w:hRule="atLeast"/>
        </w:trPr>
        <w:tc>
          <w:tcPr>
            <w:tcW w:w="3358" w:type="dxa"/>
          </w:tcPr>
          <w:p>
            <w:pPr>
              <w:pStyle w:val="TableParagraph"/>
              <w:spacing w:before="33"/>
              <w:ind w:left="107" w:right="114"/>
              <w:rPr>
                <w:b/>
                <w:sz w:val="20"/>
              </w:rPr>
            </w:pPr>
            <w:r>
              <w:rPr>
                <w:b/>
                <w:sz w:val="20"/>
              </w:rPr>
              <w:t>Damien Creamer, CEO</w:t>
            </w:r>
          </w:p>
        </w:tc>
        <w:tc>
          <w:tcPr>
            <w:tcW w:w="1891" w:type="dxa"/>
          </w:tcPr>
          <w:p>
            <w:pPr>
              <w:pStyle w:val="TableParagraph"/>
              <w:spacing w:before="33"/>
              <w:ind w:left="146" w:right="158"/>
              <w:rPr>
                <w:b/>
                <w:sz w:val="20"/>
              </w:rPr>
            </w:pPr>
            <w:r>
              <w:rPr>
                <w:b/>
                <w:sz w:val="20"/>
              </w:rPr>
              <w:t>$90,025</w:t>
            </w:r>
          </w:p>
        </w:tc>
        <w:tc>
          <w:tcPr>
            <w:tcW w:w="1260" w:type="dxa"/>
          </w:tcPr>
          <w:p>
            <w:pPr>
              <w:pStyle w:val="TableParagraph"/>
              <w:spacing w:before="33"/>
              <w:ind w:left="354" w:right="412"/>
              <w:rPr>
                <w:b/>
                <w:sz w:val="20"/>
              </w:rPr>
            </w:pPr>
            <w:r>
              <w:rPr>
                <w:b/>
                <w:sz w:val="20"/>
              </w:rPr>
              <w:t>RP</w:t>
            </w:r>
          </w:p>
        </w:tc>
        <w:tc>
          <w:tcPr>
            <w:tcW w:w="1620" w:type="dxa"/>
          </w:tcPr>
          <w:p>
            <w:pPr>
              <w:pStyle w:val="TableParagraph"/>
              <w:spacing w:before="33"/>
              <w:ind w:left="75" w:right="80"/>
              <w:rPr>
                <w:b/>
                <w:sz w:val="20"/>
              </w:rPr>
            </w:pPr>
            <w:r>
              <w:rPr>
                <w:b/>
                <w:sz w:val="20"/>
              </w:rPr>
              <w:t>$17</w:t>
            </w:r>
          </w:p>
        </w:tc>
        <w:tc>
          <w:tcPr>
            <w:tcW w:w="1261" w:type="dxa"/>
          </w:tcPr>
          <w:p>
            <w:pPr>
              <w:pStyle w:val="TableParagraph"/>
              <w:jc w:val="left"/>
              <w:rPr>
                <w:rFonts w:ascii="Times New Roman"/>
                <w:sz w:val="18"/>
              </w:rPr>
            </w:pPr>
          </w:p>
        </w:tc>
      </w:tr>
      <w:tr>
        <w:trPr>
          <w:trHeight w:val="300" w:hRule="atLeast"/>
        </w:trPr>
        <w:tc>
          <w:tcPr>
            <w:tcW w:w="3358" w:type="dxa"/>
          </w:tcPr>
          <w:p>
            <w:pPr>
              <w:pStyle w:val="TableParagraph"/>
              <w:spacing w:before="35"/>
              <w:ind w:left="107" w:right="114"/>
              <w:rPr>
                <w:b/>
                <w:sz w:val="20"/>
              </w:rPr>
            </w:pPr>
            <w:r>
              <w:rPr>
                <w:b/>
                <w:sz w:val="20"/>
              </w:rPr>
              <w:t>Administrative Sum</w:t>
            </w:r>
          </w:p>
        </w:tc>
        <w:tc>
          <w:tcPr>
            <w:tcW w:w="1891" w:type="dxa"/>
          </w:tcPr>
          <w:p>
            <w:pPr>
              <w:pStyle w:val="TableParagraph"/>
              <w:spacing w:before="35"/>
              <w:ind w:left="148" w:right="158"/>
              <w:rPr>
                <w:b/>
                <w:sz w:val="20"/>
              </w:rPr>
            </w:pPr>
            <w:r>
              <w:rPr>
                <w:b/>
                <w:sz w:val="20"/>
              </w:rPr>
              <w:t>$438,462</w:t>
            </w:r>
          </w:p>
        </w:tc>
        <w:tc>
          <w:tcPr>
            <w:tcW w:w="1260" w:type="dxa"/>
          </w:tcPr>
          <w:p>
            <w:pPr>
              <w:pStyle w:val="TableParagraph"/>
              <w:jc w:val="left"/>
              <w:rPr>
                <w:rFonts w:ascii="Times New Roman"/>
                <w:sz w:val="18"/>
              </w:rPr>
            </w:pPr>
          </w:p>
        </w:tc>
        <w:tc>
          <w:tcPr>
            <w:tcW w:w="1620" w:type="dxa"/>
          </w:tcPr>
          <w:p>
            <w:pPr>
              <w:pStyle w:val="TableParagraph"/>
              <w:spacing w:before="35"/>
              <w:ind w:left="75" w:right="80"/>
              <w:rPr>
                <w:b/>
                <w:sz w:val="20"/>
              </w:rPr>
            </w:pPr>
            <w:r>
              <w:rPr>
                <w:b/>
                <w:sz w:val="20"/>
              </w:rPr>
              <w:t>$85</w:t>
            </w:r>
          </w:p>
        </w:tc>
        <w:tc>
          <w:tcPr>
            <w:tcW w:w="1261" w:type="dxa"/>
          </w:tcPr>
          <w:p>
            <w:pPr>
              <w:pStyle w:val="TableParagraph"/>
              <w:jc w:val="left"/>
              <w:rPr>
                <w:rFonts w:ascii="Times New Roman"/>
                <w:sz w:val="18"/>
              </w:rPr>
            </w:pPr>
          </w:p>
        </w:tc>
      </w:tr>
      <w:tr>
        <w:trPr>
          <w:trHeight w:val="880" w:hRule="atLeast"/>
        </w:trPr>
        <w:tc>
          <w:tcPr>
            <w:tcW w:w="3358" w:type="dxa"/>
            <w:shd w:val="clear" w:color="auto" w:fill="C0C0C0"/>
          </w:tcPr>
          <w:p>
            <w:pPr>
              <w:pStyle w:val="TableParagraph"/>
              <w:ind w:left="153" w:right="158" w:hanging="3"/>
              <w:rPr>
                <w:b/>
                <w:sz w:val="20"/>
              </w:rPr>
            </w:pPr>
            <w:r>
              <w:rPr>
                <w:b/>
                <w:sz w:val="20"/>
              </w:rPr>
              <w:t>Reid Traditional Schools' Painted Rock Academy, Inc.</w:t>
            </w:r>
          </w:p>
          <w:p>
            <w:pPr>
              <w:pStyle w:val="TableParagraph"/>
              <w:spacing w:line="218" w:lineRule="exact" w:before="19"/>
              <w:ind w:left="109" w:right="114"/>
              <w:rPr>
                <w:b/>
                <w:sz w:val="20"/>
              </w:rPr>
            </w:pPr>
            <w:r>
              <w:rPr>
                <w:b/>
                <w:sz w:val="20"/>
              </w:rPr>
              <w:t>Reid Traditional Schools' Valley Academy, Inc.</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11"/>
              <w:jc w:val="left"/>
              <w:rPr>
                <w:rFonts w:ascii="Times New Roman"/>
                <w:sz w:val="28"/>
              </w:rPr>
            </w:pPr>
          </w:p>
          <w:p>
            <w:pPr>
              <w:pStyle w:val="TableParagraph"/>
              <w:ind w:right="400"/>
              <w:jc w:val="right"/>
              <w:rPr>
                <w:b/>
                <w:sz w:val="20"/>
              </w:rPr>
            </w:pPr>
            <w:r>
              <w:rPr>
                <w:b/>
                <w:sz w:val="20"/>
              </w:rPr>
              <w:t>1259</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11"/>
              <w:jc w:val="left"/>
              <w:rPr>
                <w:rFonts w:ascii="Times New Roman"/>
                <w:sz w:val="28"/>
              </w:rPr>
            </w:pPr>
          </w:p>
          <w:p>
            <w:pPr>
              <w:pStyle w:val="TableParagraph"/>
              <w:ind w:left="43"/>
              <w:rPr>
                <w:b/>
                <w:sz w:val="20"/>
              </w:rPr>
            </w:pPr>
            <w:r>
              <w:rPr>
                <w:b/>
                <w:w w:val="97"/>
                <w:sz w:val="20"/>
              </w:rPr>
              <w:t>2</w:t>
            </w:r>
          </w:p>
        </w:tc>
      </w:tr>
      <w:tr>
        <w:trPr>
          <w:trHeight w:val="329" w:hRule="atLeast"/>
        </w:trPr>
        <w:tc>
          <w:tcPr>
            <w:tcW w:w="3358" w:type="dxa"/>
          </w:tcPr>
          <w:p>
            <w:pPr>
              <w:pStyle w:val="TableParagraph"/>
              <w:spacing w:before="36"/>
              <w:ind w:left="105" w:right="114"/>
              <w:rPr>
                <w:b/>
                <w:sz w:val="20"/>
              </w:rPr>
            </w:pPr>
            <w:r>
              <w:rPr>
                <w:b/>
                <w:sz w:val="20"/>
              </w:rPr>
              <w:t>Heidi Mitchell, CEO</w:t>
            </w:r>
          </w:p>
        </w:tc>
        <w:tc>
          <w:tcPr>
            <w:tcW w:w="1891" w:type="dxa"/>
            <w:shd w:val="clear" w:color="auto" w:fill="92D050"/>
          </w:tcPr>
          <w:p>
            <w:pPr>
              <w:pStyle w:val="TableParagraph"/>
              <w:spacing w:before="36"/>
              <w:ind w:left="148" w:right="158"/>
              <w:rPr>
                <w:b/>
                <w:sz w:val="20"/>
              </w:rPr>
            </w:pPr>
            <w:r>
              <w:rPr>
                <w:b/>
                <w:sz w:val="20"/>
              </w:rPr>
              <w:t>$131,773</w:t>
            </w:r>
          </w:p>
        </w:tc>
        <w:tc>
          <w:tcPr>
            <w:tcW w:w="1260" w:type="dxa"/>
            <w:shd w:val="clear" w:color="auto" w:fill="92D050"/>
          </w:tcPr>
          <w:p>
            <w:pPr>
              <w:pStyle w:val="TableParagraph"/>
              <w:jc w:val="left"/>
              <w:rPr>
                <w:rFonts w:ascii="Times New Roman"/>
                <w:sz w:val="18"/>
              </w:rPr>
            </w:pPr>
          </w:p>
        </w:tc>
        <w:tc>
          <w:tcPr>
            <w:tcW w:w="1620" w:type="dxa"/>
            <w:shd w:val="clear" w:color="auto" w:fill="92D050"/>
          </w:tcPr>
          <w:p>
            <w:pPr>
              <w:pStyle w:val="TableParagraph"/>
              <w:spacing w:before="36"/>
              <w:ind w:left="75" w:right="80"/>
              <w:rPr>
                <w:b/>
                <w:sz w:val="20"/>
              </w:rPr>
            </w:pPr>
            <w:r>
              <w:rPr>
                <w:b/>
                <w:sz w:val="20"/>
              </w:rPr>
              <w:t>$105</w:t>
            </w:r>
          </w:p>
        </w:tc>
        <w:tc>
          <w:tcPr>
            <w:tcW w:w="1261" w:type="dxa"/>
          </w:tcPr>
          <w:p>
            <w:pPr>
              <w:pStyle w:val="TableParagraph"/>
              <w:jc w:val="left"/>
              <w:rPr>
                <w:rFonts w:ascii="Times New Roman"/>
                <w:sz w:val="18"/>
              </w:rPr>
            </w:pPr>
          </w:p>
        </w:tc>
      </w:tr>
      <w:tr>
        <w:trPr>
          <w:trHeight w:val="420" w:hRule="atLeast"/>
        </w:trPr>
        <w:tc>
          <w:tcPr>
            <w:tcW w:w="3358" w:type="dxa"/>
            <w:shd w:val="clear" w:color="auto" w:fill="C0C0C0"/>
          </w:tcPr>
          <w:p>
            <w:pPr>
              <w:pStyle w:val="TableParagraph"/>
              <w:spacing w:line="201" w:lineRule="exact"/>
              <w:ind w:left="109" w:right="114"/>
              <w:rPr>
                <w:b/>
                <w:sz w:val="20"/>
              </w:rPr>
            </w:pPr>
            <w:r>
              <w:rPr>
                <w:b/>
                <w:sz w:val="20"/>
              </w:rPr>
              <w:t>Salt River Pima-Maricopa</w:t>
            </w:r>
          </w:p>
          <w:p>
            <w:pPr>
              <w:pStyle w:val="TableParagraph"/>
              <w:spacing w:line="209" w:lineRule="exact"/>
              <w:ind w:left="53" w:right="114"/>
              <w:rPr>
                <w:b/>
                <w:sz w:val="20"/>
              </w:rPr>
            </w:pPr>
            <w:r>
              <w:rPr>
                <w:b/>
                <w:sz w:val="20"/>
              </w:rPr>
              <w:t>Community Schools</w:t>
            </w:r>
          </w:p>
        </w:tc>
        <w:tc>
          <w:tcPr>
            <w:tcW w:w="1891" w:type="dxa"/>
            <w:shd w:val="clear" w:color="auto" w:fill="C0C0C0"/>
          </w:tcPr>
          <w:p>
            <w:pPr>
              <w:pStyle w:val="TableParagraph"/>
              <w:jc w:val="left"/>
              <w:rPr>
                <w:rFonts w:ascii="Times New Roman"/>
                <w:sz w:val="18"/>
              </w:rPr>
            </w:pPr>
          </w:p>
        </w:tc>
        <w:tc>
          <w:tcPr>
            <w:tcW w:w="1260" w:type="dxa"/>
            <w:shd w:val="clear" w:color="auto" w:fill="C0C0C0"/>
          </w:tcPr>
          <w:p>
            <w:pPr>
              <w:pStyle w:val="TableParagraph"/>
              <w:spacing w:before="90"/>
              <w:ind w:right="429"/>
              <w:jc w:val="right"/>
              <w:rPr>
                <w:b/>
                <w:sz w:val="20"/>
              </w:rPr>
            </w:pPr>
            <w:r>
              <w:rPr>
                <w:b/>
                <w:sz w:val="20"/>
              </w:rPr>
              <w:t>232</w:t>
            </w:r>
          </w:p>
        </w:tc>
        <w:tc>
          <w:tcPr>
            <w:tcW w:w="1620" w:type="dxa"/>
            <w:shd w:val="clear" w:color="auto" w:fill="C0C0C0"/>
          </w:tcPr>
          <w:p>
            <w:pPr>
              <w:pStyle w:val="TableParagraph"/>
              <w:jc w:val="left"/>
              <w:rPr>
                <w:rFonts w:ascii="Times New Roman"/>
                <w:sz w:val="18"/>
              </w:rPr>
            </w:pPr>
          </w:p>
        </w:tc>
        <w:tc>
          <w:tcPr>
            <w:tcW w:w="1261" w:type="dxa"/>
            <w:shd w:val="clear" w:color="auto" w:fill="C0C0C0"/>
          </w:tcPr>
          <w:p>
            <w:pPr>
              <w:pStyle w:val="TableParagraph"/>
              <w:spacing w:before="90"/>
              <w:ind w:left="43"/>
              <w:rPr>
                <w:b/>
                <w:sz w:val="20"/>
              </w:rPr>
            </w:pPr>
            <w:r>
              <w:rPr>
                <w:b/>
                <w:w w:val="97"/>
                <w:sz w:val="20"/>
              </w:rPr>
              <w:t>2</w:t>
            </w:r>
          </w:p>
        </w:tc>
      </w:tr>
    </w:tbl>
    <w:p>
      <w:pPr>
        <w:spacing w:after="0"/>
        <w:rPr>
          <w:sz w:val="20"/>
        </w:rPr>
        <w:sectPr>
          <w:pgSz w:w="12240" w:h="15840"/>
          <w:pgMar w:header="740" w:footer="1002" w:top="940" w:bottom="1200" w:left="1300" w:right="1300"/>
        </w:sectPr>
      </w:pPr>
    </w:p>
    <w:p>
      <w:pPr>
        <w:pStyle w:val="BodyText"/>
        <w:rPr>
          <w:rFonts w:ascii="Times New Roman"/>
          <w:sz w:val="20"/>
        </w:rPr>
      </w:pPr>
    </w:p>
    <w:p>
      <w:pPr>
        <w:pStyle w:val="BodyText"/>
        <w:spacing w:before="2"/>
        <w:rPr>
          <w:rFonts w:ascii="Times New Roman"/>
          <w:sz w:val="22"/>
        </w:rPr>
      </w:pPr>
    </w:p>
    <w:tbl>
      <w:tblPr>
        <w:tblW w:w="0" w:type="auto"/>
        <w:jc w:val="left"/>
        <w:tblInd w:w="1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358"/>
        <w:gridCol w:w="1891"/>
        <w:gridCol w:w="1260"/>
        <w:gridCol w:w="1620"/>
        <w:gridCol w:w="1261"/>
      </w:tblGrid>
      <w:tr>
        <w:trPr>
          <w:trHeight w:val="280" w:hRule="atLeast"/>
        </w:trPr>
        <w:tc>
          <w:tcPr>
            <w:tcW w:w="3358" w:type="dxa"/>
            <w:vMerge w:val="restart"/>
            <w:shd w:val="clear" w:color="auto" w:fill="D99493"/>
          </w:tcPr>
          <w:p>
            <w:pPr>
              <w:pStyle w:val="TableParagraph"/>
              <w:spacing w:before="194"/>
              <w:ind w:left="954"/>
              <w:jc w:val="left"/>
              <w:rPr>
                <w:b/>
                <w:sz w:val="20"/>
              </w:rPr>
            </w:pPr>
            <w:r>
              <w:rPr>
                <w:b/>
                <w:sz w:val="20"/>
              </w:rPr>
              <w:t>Name and Title</w:t>
            </w:r>
          </w:p>
        </w:tc>
        <w:tc>
          <w:tcPr>
            <w:tcW w:w="1891" w:type="dxa"/>
            <w:tcBorders>
              <w:bottom w:val="nil"/>
            </w:tcBorders>
            <w:shd w:val="clear" w:color="auto" w:fill="D99493"/>
          </w:tcPr>
          <w:p>
            <w:pPr>
              <w:pStyle w:val="TableParagraph"/>
              <w:spacing w:before="26"/>
              <w:ind w:left="148" w:right="158"/>
              <w:rPr>
                <w:b/>
                <w:sz w:val="20"/>
              </w:rPr>
            </w:pPr>
            <w:r>
              <w:rPr>
                <w:b/>
                <w:sz w:val="20"/>
              </w:rPr>
              <w:t>Salary 990</w:t>
            </w:r>
          </w:p>
        </w:tc>
        <w:tc>
          <w:tcPr>
            <w:tcW w:w="1260" w:type="dxa"/>
            <w:vMerge w:val="restart"/>
            <w:shd w:val="clear" w:color="auto" w:fill="D99493"/>
          </w:tcPr>
          <w:p>
            <w:pPr>
              <w:pStyle w:val="TableParagraph"/>
              <w:spacing w:before="78"/>
              <w:ind w:left="477" w:right="294" w:hanging="173"/>
              <w:jc w:val="left"/>
              <w:rPr>
                <w:b/>
                <w:sz w:val="20"/>
              </w:rPr>
            </w:pPr>
            <w:r>
              <w:rPr>
                <w:b/>
                <w:sz w:val="20"/>
              </w:rPr>
              <w:t># ADM RP</w:t>
            </w:r>
          </w:p>
        </w:tc>
        <w:tc>
          <w:tcPr>
            <w:tcW w:w="1620" w:type="dxa"/>
            <w:vMerge w:val="restart"/>
            <w:shd w:val="clear" w:color="auto" w:fill="D99493"/>
          </w:tcPr>
          <w:p>
            <w:pPr>
              <w:pStyle w:val="TableParagraph"/>
              <w:spacing w:before="194"/>
              <w:ind w:left="119"/>
              <w:jc w:val="left"/>
              <w:rPr>
                <w:b/>
                <w:sz w:val="20"/>
              </w:rPr>
            </w:pPr>
            <w:r>
              <w:rPr>
                <w:b/>
                <w:sz w:val="20"/>
                <w:u w:val="thick"/>
              </w:rPr>
              <w:t>Cost per Pupil</w:t>
            </w:r>
          </w:p>
        </w:tc>
        <w:tc>
          <w:tcPr>
            <w:tcW w:w="1261" w:type="dxa"/>
            <w:vMerge w:val="restart"/>
            <w:shd w:val="clear" w:color="auto" w:fill="D99493"/>
          </w:tcPr>
          <w:p>
            <w:pPr>
              <w:pStyle w:val="TableParagraph"/>
              <w:spacing w:before="194"/>
              <w:ind w:left="295"/>
              <w:jc w:val="left"/>
              <w:rPr>
                <w:b/>
                <w:sz w:val="20"/>
              </w:rPr>
            </w:pPr>
            <w:r>
              <w:rPr>
                <w:b/>
                <w:sz w:val="20"/>
              </w:rPr>
              <w:t># Sites</w:t>
            </w:r>
          </w:p>
        </w:tc>
      </w:tr>
      <w:tr>
        <w:trPr>
          <w:trHeight w:val="280" w:hRule="atLeast"/>
        </w:trPr>
        <w:tc>
          <w:tcPr>
            <w:tcW w:w="3358" w:type="dxa"/>
            <w:vMerge/>
            <w:tcBorders>
              <w:top w:val="nil"/>
            </w:tcBorders>
            <w:shd w:val="clear" w:color="auto" w:fill="D99493"/>
          </w:tcPr>
          <w:p>
            <w:pPr>
              <w:rPr>
                <w:sz w:val="2"/>
                <w:szCs w:val="2"/>
              </w:rPr>
            </w:pPr>
          </w:p>
        </w:tc>
        <w:tc>
          <w:tcPr>
            <w:tcW w:w="1891" w:type="dxa"/>
            <w:tcBorders>
              <w:top w:val="nil"/>
            </w:tcBorders>
            <w:shd w:val="clear" w:color="auto" w:fill="D99493"/>
          </w:tcPr>
          <w:p>
            <w:pPr>
              <w:pStyle w:val="TableParagraph"/>
              <w:spacing w:before="32"/>
              <w:ind w:left="150" w:right="157"/>
              <w:rPr>
                <w:b/>
                <w:sz w:val="20"/>
              </w:rPr>
            </w:pPr>
            <w:r>
              <w:rPr>
                <w:b/>
                <w:sz w:val="20"/>
              </w:rPr>
              <w:t>2013-2014</w:t>
            </w:r>
          </w:p>
        </w:tc>
        <w:tc>
          <w:tcPr>
            <w:tcW w:w="1260" w:type="dxa"/>
            <w:vMerge/>
            <w:tcBorders>
              <w:top w:val="nil"/>
            </w:tcBorders>
            <w:shd w:val="clear" w:color="auto" w:fill="D99493"/>
          </w:tcPr>
          <w:p>
            <w:pPr>
              <w:rPr>
                <w:sz w:val="2"/>
                <w:szCs w:val="2"/>
              </w:rPr>
            </w:pPr>
          </w:p>
        </w:tc>
        <w:tc>
          <w:tcPr>
            <w:tcW w:w="1620" w:type="dxa"/>
            <w:vMerge/>
            <w:tcBorders>
              <w:top w:val="nil"/>
            </w:tcBorders>
            <w:shd w:val="clear" w:color="auto" w:fill="D99493"/>
          </w:tcPr>
          <w:p>
            <w:pPr>
              <w:rPr>
                <w:sz w:val="2"/>
                <w:szCs w:val="2"/>
              </w:rPr>
            </w:pPr>
          </w:p>
        </w:tc>
        <w:tc>
          <w:tcPr>
            <w:tcW w:w="1261" w:type="dxa"/>
            <w:vMerge/>
            <w:tcBorders>
              <w:top w:val="nil"/>
            </w:tcBorders>
            <w:shd w:val="clear" w:color="auto" w:fill="D99493"/>
          </w:tcPr>
          <w:p>
            <w:pPr>
              <w:rPr>
                <w:sz w:val="2"/>
                <w:szCs w:val="2"/>
              </w:rPr>
            </w:pPr>
          </w:p>
        </w:tc>
      </w:tr>
      <w:tr>
        <w:trPr>
          <w:trHeight w:val="320" w:hRule="atLeast"/>
        </w:trPr>
        <w:tc>
          <w:tcPr>
            <w:tcW w:w="3358" w:type="dxa"/>
          </w:tcPr>
          <w:p>
            <w:pPr>
              <w:pStyle w:val="TableParagraph"/>
              <w:spacing w:before="54"/>
              <w:ind w:left="604"/>
              <w:jc w:val="left"/>
              <w:rPr>
                <w:b/>
                <w:sz w:val="20"/>
              </w:rPr>
            </w:pPr>
            <w:r>
              <w:rPr>
                <w:b/>
                <w:sz w:val="20"/>
              </w:rPr>
              <w:t>Superintendent Salary</w:t>
            </w:r>
          </w:p>
        </w:tc>
        <w:tc>
          <w:tcPr>
            <w:tcW w:w="1891" w:type="dxa"/>
            <w:shd w:val="clear" w:color="auto" w:fill="FF0000"/>
          </w:tcPr>
          <w:p>
            <w:pPr>
              <w:pStyle w:val="TableParagraph"/>
              <w:spacing w:before="54"/>
              <w:ind w:left="148" w:right="158"/>
              <w:rPr>
                <w:b/>
                <w:sz w:val="20"/>
              </w:rPr>
            </w:pPr>
            <w:r>
              <w:rPr>
                <w:b/>
                <w:sz w:val="20"/>
              </w:rPr>
              <w:t>$178,000</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54"/>
              <w:ind w:left="75" w:right="80"/>
              <w:rPr>
                <w:b/>
                <w:sz w:val="20"/>
              </w:rPr>
            </w:pPr>
            <w:r>
              <w:rPr>
                <w:b/>
                <w:sz w:val="20"/>
              </w:rPr>
              <w:t>$767</w:t>
            </w:r>
          </w:p>
        </w:tc>
        <w:tc>
          <w:tcPr>
            <w:tcW w:w="1261" w:type="dxa"/>
          </w:tcPr>
          <w:p>
            <w:pPr>
              <w:pStyle w:val="TableParagraph"/>
              <w:jc w:val="left"/>
              <w:rPr>
                <w:rFonts w:ascii="Times New Roman"/>
                <w:sz w:val="20"/>
              </w:rPr>
            </w:pPr>
          </w:p>
        </w:tc>
      </w:tr>
      <w:tr>
        <w:trPr>
          <w:trHeight w:val="280" w:hRule="atLeast"/>
        </w:trPr>
        <w:tc>
          <w:tcPr>
            <w:tcW w:w="3358" w:type="dxa"/>
          </w:tcPr>
          <w:p>
            <w:pPr>
              <w:pStyle w:val="TableParagraph"/>
              <w:spacing w:before="33"/>
              <w:ind w:left="1077"/>
              <w:jc w:val="left"/>
              <w:rPr>
                <w:b/>
                <w:sz w:val="20"/>
              </w:rPr>
            </w:pPr>
            <w:r>
              <w:rPr>
                <w:b/>
                <w:sz w:val="20"/>
              </w:rPr>
              <w:t>Principal HS</w:t>
            </w:r>
          </w:p>
        </w:tc>
        <w:tc>
          <w:tcPr>
            <w:tcW w:w="1891" w:type="dxa"/>
            <w:shd w:val="clear" w:color="auto" w:fill="FF0000"/>
          </w:tcPr>
          <w:p>
            <w:pPr>
              <w:pStyle w:val="TableParagraph"/>
              <w:spacing w:before="33"/>
              <w:ind w:left="148" w:right="158"/>
              <w:rPr>
                <w:b/>
                <w:sz w:val="20"/>
              </w:rPr>
            </w:pPr>
            <w:r>
              <w:rPr>
                <w:b/>
                <w:sz w:val="20"/>
              </w:rPr>
              <w:t>$104,000</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33"/>
              <w:ind w:left="75" w:right="80"/>
              <w:rPr>
                <w:b/>
                <w:sz w:val="20"/>
              </w:rPr>
            </w:pPr>
            <w:r>
              <w:rPr>
                <w:b/>
                <w:sz w:val="20"/>
              </w:rPr>
              <w:t>$448</w:t>
            </w:r>
          </w:p>
        </w:tc>
        <w:tc>
          <w:tcPr>
            <w:tcW w:w="1261" w:type="dxa"/>
          </w:tcPr>
          <w:p>
            <w:pPr>
              <w:pStyle w:val="TableParagraph"/>
              <w:jc w:val="left"/>
              <w:rPr>
                <w:rFonts w:ascii="Times New Roman"/>
                <w:sz w:val="20"/>
              </w:rPr>
            </w:pPr>
          </w:p>
        </w:tc>
      </w:tr>
      <w:tr>
        <w:trPr>
          <w:trHeight w:val="320" w:hRule="atLeast"/>
        </w:trPr>
        <w:tc>
          <w:tcPr>
            <w:tcW w:w="3358" w:type="dxa"/>
          </w:tcPr>
          <w:p>
            <w:pPr>
              <w:pStyle w:val="TableParagraph"/>
              <w:spacing w:before="35"/>
              <w:ind w:left="726"/>
              <w:jc w:val="left"/>
              <w:rPr>
                <w:b/>
                <w:sz w:val="20"/>
              </w:rPr>
            </w:pPr>
            <w:r>
              <w:rPr>
                <w:b/>
                <w:sz w:val="20"/>
              </w:rPr>
              <w:t>Administrative Sum</w:t>
            </w:r>
          </w:p>
        </w:tc>
        <w:tc>
          <w:tcPr>
            <w:tcW w:w="1891" w:type="dxa"/>
            <w:shd w:val="clear" w:color="auto" w:fill="FF0000"/>
          </w:tcPr>
          <w:p>
            <w:pPr>
              <w:pStyle w:val="TableParagraph"/>
              <w:spacing w:before="35"/>
              <w:ind w:left="148" w:right="158"/>
              <w:rPr>
                <w:b/>
                <w:sz w:val="20"/>
              </w:rPr>
            </w:pPr>
            <w:r>
              <w:rPr>
                <w:b/>
                <w:sz w:val="20"/>
              </w:rPr>
              <w:t>$282,000</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35"/>
              <w:ind w:left="75" w:right="79"/>
              <w:rPr>
                <w:b/>
                <w:sz w:val="20"/>
              </w:rPr>
            </w:pPr>
            <w:r>
              <w:rPr>
                <w:b/>
                <w:sz w:val="20"/>
              </w:rPr>
              <w:t>$1,216</w:t>
            </w:r>
          </w:p>
        </w:tc>
        <w:tc>
          <w:tcPr>
            <w:tcW w:w="1261" w:type="dxa"/>
          </w:tcPr>
          <w:p>
            <w:pPr>
              <w:pStyle w:val="TableParagraph"/>
              <w:jc w:val="left"/>
              <w:rPr>
                <w:rFonts w:ascii="Times New Roman"/>
                <w:sz w:val="20"/>
              </w:rPr>
            </w:pPr>
          </w:p>
        </w:tc>
      </w:tr>
      <w:tr>
        <w:trPr>
          <w:trHeight w:val="280" w:hRule="atLeast"/>
        </w:trPr>
        <w:tc>
          <w:tcPr>
            <w:tcW w:w="3358" w:type="dxa"/>
            <w:shd w:val="clear" w:color="auto" w:fill="C0C0C0"/>
          </w:tcPr>
          <w:p>
            <w:pPr>
              <w:pStyle w:val="TableParagraph"/>
              <w:spacing w:before="18"/>
              <w:ind w:right="163"/>
              <w:jc w:val="right"/>
              <w:rPr>
                <w:b/>
                <w:sz w:val="20"/>
              </w:rPr>
            </w:pPr>
            <w:r>
              <w:rPr>
                <w:b/>
                <w:sz w:val="20"/>
              </w:rPr>
              <w:t>San Tan Montessori School, Inc.</w:t>
            </w:r>
          </w:p>
        </w:tc>
        <w:tc>
          <w:tcPr>
            <w:tcW w:w="1891" w:type="dxa"/>
            <w:shd w:val="clear" w:color="auto" w:fill="C0C0C0"/>
          </w:tcPr>
          <w:p>
            <w:pPr>
              <w:pStyle w:val="TableParagraph"/>
              <w:jc w:val="left"/>
              <w:rPr>
                <w:rFonts w:ascii="Times New Roman"/>
                <w:sz w:val="20"/>
              </w:rPr>
            </w:pPr>
          </w:p>
        </w:tc>
        <w:tc>
          <w:tcPr>
            <w:tcW w:w="1260" w:type="dxa"/>
            <w:shd w:val="clear" w:color="auto" w:fill="C0C0C0"/>
          </w:tcPr>
          <w:p>
            <w:pPr>
              <w:pStyle w:val="TableParagraph"/>
              <w:spacing w:before="18"/>
              <w:ind w:right="429"/>
              <w:jc w:val="right"/>
              <w:rPr>
                <w:b/>
                <w:sz w:val="20"/>
              </w:rPr>
            </w:pPr>
            <w:r>
              <w:rPr>
                <w:b/>
                <w:sz w:val="20"/>
              </w:rPr>
              <w:t>438</w:t>
            </w:r>
          </w:p>
        </w:tc>
        <w:tc>
          <w:tcPr>
            <w:tcW w:w="1620" w:type="dxa"/>
            <w:shd w:val="clear" w:color="auto" w:fill="C0C0C0"/>
          </w:tcPr>
          <w:p>
            <w:pPr>
              <w:pStyle w:val="TableParagraph"/>
              <w:jc w:val="left"/>
              <w:rPr>
                <w:rFonts w:ascii="Times New Roman"/>
                <w:sz w:val="20"/>
              </w:rPr>
            </w:pPr>
          </w:p>
        </w:tc>
        <w:tc>
          <w:tcPr>
            <w:tcW w:w="1261" w:type="dxa"/>
            <w:shd w:val="clear" w:color="auto" w:fill="C0C0C0"/>
          </w:tcPr>
          <w:p>
            <w:pPr>
              <w:pStyle w:val="TableParagraph"/>
              <w:jc w:val="left"/>
              <w:rPr>
                <w:rFonts w:ascii="Times New Roman"/>
                <w:sz w:val="20"/>
              </w:rPr>
            </w:pPr>
          </w:p>
        </w:tc>
      </w:tr>
      <w:tr>
        <w:trPr>
          <w:trHeight w:val="460" w:hRule="atLeast"/>
        </w:trPr>
        <w:tc>
          <w:tcPr>
            <w:tcW w:w="3358" w:type="dxa"/>
          </w:tcPr>
          <w:p>
            <w:pPr>
              <w:pStyle w:val="TableParagraph"/>
              <w:spacing w:line="226" w:lineRule="exact" w:before="18"/>
              <w:ind w:left="933" w:right="343" w:hanging="581"/>
              <w:jc w:val="left"/>
              <w:rPr>
                <w:b/>
                <w:sz w:val="20"/>
              </w:rPr>
            </w:pPr>
            <w:r>
              <w:rPr>
                <w:b/>
                <w:sz w:val="20"/>
              </w:rPr>
              <w:t>Kristofer Sippel, President / Superintendent</w:t>
            </w:r>
          </w:p>
        </w:tc>
        <w:tc>
          <w:tcPr>
            <w:tcW w:w="1891" w:type="dxa"/>
            <w:shd w:val="clear" w:color="auto" w:fill="FF0000"/>
          </w:tcPr>
          <w:p>
            <w:pPr>
              <w:pStyle w:val="TableParagraph"/>
              <w:spacing w:before="121"/>
              <w:ind w:left="148" w:right="158"/>
              <w:rPr>
                <w:b/>
                <w:sz w:val="20"/>
              </w:rPr>
            </w:pPr>
            <w:r>
              <w:rPr>
                <w:b/>
                <w:sz w:val="20"/>
              </w:rPr>
              <w:t>$181,666</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121"/>
              <w:ind w:left="16" w:right="83"/>
              <w:rPr>
                <w:b/>
                <w:sz w:val="20"/>
              </w:rPr>
            </w:pPr>
            <w:r>
              <w:rPr>
                <w:b/>
                <w:sz w:val="20"/>
              </w:rPr>
              <w:t>$415</w:t>
            </w:r>
          </w:p>
        </w:tc>
        <w:tc>
          <w:tcPr>
            <w:tcW w:w="1261" w:type="dxa"/>
          </w:tcPr>
          <w:p>
            <w:pPr>
              <w:pStyle w:val="TableParagraph"/>
              <w:spacing w:before="121"/>
              <w:ind w:right="566"/>
              <w:jc w:val="right"/>
              <w:rPr>
                <w:b/>
                <w:sz w:val="20"/>
              </w:rPr>
            </w:pPr>
            <w:r>
              <w:rPr>
                <w:b/>
                <w:w w:val="97"/>
                <w:sz w:val="20"/>
              </w:rPr>
              <w:t>1</w:t>
            </w:r>
          </w:p>
        </w:tc>
      </w:tr>
      <w:tr>
        <w:trPr>
          <w:trHeight w:val="460" w:hRule="atLeast"/>
        </w:trPr>
        <w:tc>
          <w:tcPr>
            <w:tcW w:w="3358" w:type="dxa"/>
          </w:tcPr>
          <w:p>
            <w:pPr>
              <w:pStyle w:val="TableParagraph"/>
              <w:spacing w:line="221" w:lineRule="exact"/>
              <w:ind w:left="102" w:right="114"/>
              <w:rPr>
                <w:b/>
                <w:sz w:val="20"/>
              </w:rPr>
            </w:pPr>
            <w:r>
              <w:rPr>
                <w:b/>
                <w:sz w:val="20"/>
              </w:rPr>
              <w:t>Rita Sippel, Vice President /</w:t>
            </w:r>
          </w:p>
          <w:p>
            <w:pPr>
              <w:pStyle w:val="TableParagraph"/>
              <w:spacing w:line="220" w:lineRule="exact"/>
              <w:ind w:left="105" w:right="114"/>
              <w:rPr>
                <w:b/>
                <w:sz w:val="20"/>
              </w:rPr>
            </w:pPr>
            <w:r>
              <w:rPr>
                <w:b/>
                <w:sz w:val="20"/>
              </w:rPr>
              <w:t>Education Director</w:t>
            </w:r>
          </w:p>
        </w:tc>
        <w:tc>
          <w:tcPr>
            <w:tcW w:w="1891" w:type="dxa"/>
            <w:shd w:val="clear" w:color="auto" w:fill="FF0000"/>
          </w:tcPr>
          <w:p>
            <w:pPr>
              <w:pStyle w:val="TableParagraph"/>
              <w:spacing w:before="102"/>
              <w:ind w:left="148" w:right="158"/>
              <w:rPr>
                <w:b/>
                <w:sz w:val="20"/>
              </w:rPr>
            </w:pPr>
            <w:r>
              <w:rPr>
                <w:b/>
                <w:sz w:val="20"/>
              </w:rPr>
              <w:t>$111,172</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102"/>
              <w:ind w:left="75" w:right="80"/>
              <w:rPr>
                <w:b/>
                <w:sz w:val="20"/>
              </w:rPr>
            </w:pPr>
            <w:r>
              <w:rPr>
                <w:b/>
                <w:sz w:val="20"/>
              </w:rPr>
              <w:t>$254</w:t>
            </w:r>
          </w:p>
        </w:tc>
        <w:tc>
          <w:tcPr>
            <w:tcW w:w="1261" w:type="dxa"/>
          </w:tcPr>
          <w:p>
            <w:pPr>
              <w:pStyle w:val="TableParagraph"/>
              <w:jc w:val="left"/>
              <w:rPr>
                <w:rFonts w:ascii="Times New Roman"/>
                <w:sz w:val="20"/>
              </w:rPr>
            </w:pPr>
          </w:p>
        </w:tc>
      </w:tr>
      <w:tr>
        <w:trPr>
          <w:trHeight w:val="400" w:hRule="atLeast"/>
        </w:trPr>
        <w:tc>
          <w:tcPr>
            <w:tcW w:w="3358" w:type="dxa"/>
          </w:tcPr>
          <w:p>
            <w:pPr>
              <w:pStyle w:val="TableParagraph"/>
              <w:spacing w:before="76"/>
              <w:ind w:left="726"/>
              <w:jc w:val="left"/>
              <w:rPr>
                <w:b/>
                <w:sz w:val="20"/>
              </w:rPr>
            </w:pPr>
            <w:r>
              <w:rPr>
                <w:b/>
                <w:sz w:val="20"/>
              </w:rPr>
              <w:t>Administrative Sum</w:t>
            </w:r>
          </w:p>
        </w:tc>
        <w:tc>
          <w:tcPr>
            <w:tcW w:w="1891" w:type="dxa"/>
            <w:shd w:val="clear" w:color="auto" w:fill="FF0000"/>
          </w:tcPr>
          <w:p>
            <w:pPr>
              <w:pStyle w:val="TableParagraph"/>
              <w:spacing w:before="76"/>
              <w:ind w:left="148" w:right="158"/>
              <w:rPr>
                <w:b/>
                <w:sz w:val="20"/>
              </w:rPr>
            </w:pPr>
            <w:r>
              <w:rPr>
                <w:b/>
                <w:sz w:val="20"/>
              </w:rPr>
              <w:t>$292,838</w:t>
            </w: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spacing w:before="76"/>
              <w:ind w:left="75" w:right="80"/>
              <w:rPr>
                <w:b/>
                <w:sz w:val="20"/>
              </w:rPr>
            </w:pPr>
            <w:r>
              <w:rPr>
                <w:b/>
                <w:sz w:val="20"/>
              </w:rPr>
              <w:t>$669</w:t>
            </w:r>
          </w:p>
        </w:tc>
        <w:tc>
          <w:tcPr>
            <w:tcW w:w="1261" w:type="dxa"/>
          </w:tcPr>
          <w:p>
            <w:pPr>
              <w:pStyle w:val="TableParagraph"/>
              <w:jc w:val="left"/>
              <w:rPr>
                <w:rFonts w:ascii="Times New Roman"/>
                <w:sz w:val="20"/>
              </w:rPr>
            </w:pPr>
          </w:p>
        </w:tc>
      </w:tr>
      <w:tr>
        <w:trPr>
          <w:trHeight w:val="420" w:hRule="atLeast"/>
        </w:trPr>
        <w:tc>
          <w:tcPr>
            <w:tcW w:w="3358" w:type="dxa"/>
            <w:shd w:val="clear" w:color="auto" w:fill="C0C0C0"/>
          </w:tcPr>
          <w:p>
            <w:pPr>
              <w:pStyle w:val="TableParagraph"/>
              <w:spacing w:line="201" w:lineRule="exact"/>
              <w:ind w:left="149" w:right="111"/>
              <w:rPr>
                <w:b/>
                <w:sz w:val="20"/>
              </w:rPr>
            </w:pPr>
            <w:r>
              <w:rPr>
                <w:b/>
                <w:sz w:val="20"/>
              </w:rPr>
              <w:t>Shonto Governing Board Of</w:t>
            </w:r>
          </w:p>
          <w:p>
            <w:pPr>
              <w:pStyle w:val="TableParagraph"/>
              <w:spacing w:line="201" w:lineRule="exact"/>
              <w:ind w:left="108" w:right="114"/>
              <w:rPr>
                <w:b/>
                <w:sz w:val="20"/>
              </w:rPr>
            </w:pPr>
            <w:r>
              <w:rPr>
                <w:b/>
                <w:sz w:val="20"/>
              </w:rPr>
              <w:t>Education, Inc.</w:t>
            </w:r>
          </w:p>
        </w:tc>
        <w:tc>
          <w:tcPr>
            <w:tcW w:w="1891" w:type="dxa"/>
            <w:shd w:val="clear" w:color="auto" w:fill="C0C0C0"/>
          </w:tcPr>
          <w:p>
            <w:pPr>
              <w:pStyle w:val="TableParagraph"/>
              <w:jc w:val="left"/>
              <w:rPr>
                <w:rFonts w:ascii="Times New Roman"/>
                <w:sz w:val="20"/>
              </w:rPr>
            </w:pPr>
          </w:p>
        </w:tc>
        <w:tc>
          <w:tcPr>
            <w:tcW w:w="1260" w:type="dxa"/>
            <w:shd w:val="clear" w:color="auto" w:fill="C0C0C0"/>
          </w:tcPr>
          <w:p>
            <w:pPr>
              <w:pStyle w:val="TableParagraph"/>
              <w:spacing w:before="90"/>
              <w:ind w:left="399" w:right="358"/>
              <w:rPr>
                <w:b/>
                <w:sz w:val="20"/>
              </w:rPr>
            </w:pPr>
            <w:r>
              <w:rPr>
                <w:b/>
                <w:sz w:val="20"/>
              </w:rPr>
              <w:t>65</w:t>
            </w:r>
          </w:p>
        </w:tc>
        <w:tc>
          <w:tcPr>
            <w:tcW w:w="1620" w:type="dxa"/>
            <w:shd w:val="clear" w:color="auto" w:fill="C0C0C0"/>
          </w:tcPr>
          <w:p>
            <w:pPr>
              <w:pStyle w:val="TableParagraph"/>
              <w:jc w:val="left"/>
              <w:rPr>
                <w:rFonts w:ascii="Times New Roman"/>
                <w:sz w:val="20"/>
              </w:rPr>
            </w:pPr>
          </w:p>
        </w:tc>
        <w:tc>
          <w:tcPr>
            <w:tcW w:w="1261" w:type="dxa"/>
            <w:shd w:val="clear" w:color="auto" w:fill="C0C0C0"/>
          </w:tcPr>
          <w:p>
            <w:pPr>
              <w:pStyle w:val="TableParagraph"/>
              <w:spacing w:before="90"/>
              <w:ind w:right="540"/>
              <w:jc w:val="right"/>
              <w:rPr>
                <w:b/>
                <w:sz w:val="20"/>
              </w:rPr>
            </w:pPr>
            <w:r>
              <w:rPr>
                <w:b/>
                <w:w w:val="97"/>
                <w:sz w:val="20"/>
              </w:rPr>
              <w:t>1</w:t>
            </w:r>
          </w:p>
        </w:tc>
      </w:tr>
      <w:tr>
        <w:trPr>
          <w:trHeight w:val="340" w:hRule="atLeast"/>
        </w:trPr>
        <w:tc>
          <w:tcPr>
            <w:tcW w:w="3358" w:type="dxa"/>
          </w:tcPr>
          <w:p>
            <w:pPr>
              <w:pStyle w:val="TableParagraph"/>
              <w:spacing w:before="45"/>
              <w:ind w:right="194"/>
              <w:jc w:val="right"/>
              <w:rPr>
                <w:b/>
                <w:sz w:val="20"/>
              </w:rPr>
            </w:pPr>
            <w:r>
              <w:rPr>
                <w:b/>
                <w:sz w:val="20"/>
              </w:rPr>
              <w:t>Lemual Adson, Superintendent</w:t>
            </w:r>
          </w:p>
        </w:tc>
        <w:tc>
          <w:tcPr>
            <w:tcW w:w="1891" w:type="dxa"/>
            <w:shd w:val="clear" w:color="auto" w:fill="FF0000"/>
          </w:tcPr>
          <w:p>
            <w:pPr>
              <w:pStyle w:val="TableParagraph"/>
              <w:jc w:val="left"/>
              <w:rPr>
                <w:rFonts w:ascii="Times New Roman"/>
                <w:sz w:val="20"/>
              </w:rPr>
            </w:pPr>
          </w:p>
        </w:tc>
        <w:tc>
          <w:tcPr>
            <w:tcW w:w="1260" w:type="dxa"/>
            <w:shd w:val="clear" w:color="auto" w:fill="FF0000"/>
          </w:tcPr>
          <w:p>
            <w:pPr>
              <w:pStyle w:val="TableParagraph"/>
              <w:jc w:val="left"/>
              <w:rPr>
                <w:rFonts w:ascii="Times New Roman"/>
                <w:sz w:val="20"/>
              </w:rPr>
            </w:pPr>
          </w:p>
        </w:tc>
        <w:tc>
          <w:tcPr>
            <w:tcW w:w="1620" w:type="dxa"/>
            <w:shd w:val="clear" w:color="auto" w:fill="FF0000"/>
          </w:tcPr>
          <w:p>
            <w:pPr>
              <w:pStyle w:val="TableParagraph"/>
              <w:jc w:val="left"/>
              <w:rPr>
                <w:rFonts w:ascii="Times New Roman"/>
                <w:sz w:val="20"/>
              </w:rPr>
            </w:pPr>
          </w:p>
        </w:tc>
        <w:tc>
          <w:tcPr>
            <w:tcW w:w="1261" w:type="dxa"/>
          </w:tcPr>
          <w:p>
            <w:pPr>
              <w:pStyle w:val="TableParagraph"/>
              <w:spacing w:before="45"/>
              <w:ind w:right="566"/>
              <w:jc w:val="right"/>
              <w:rPr>
                <w:b/>
                <w:sz w:val="20"/>
              </w:rPr>
            </w:pPr>
            <w:r>
              <w:rPr>
                <w:b/>
                <w:w w:val="97"/>
                <w:sz w:val="20"/>
              </w:rPr>
              <w:t>1</w:t>
            </w:r>
          </w:p>
        </w:tc>
      </w:tr>
      <w:tr>
        <w:trPr>
          <w:trHeight w:val="1580" w:hRule="atLeast"/>
        </w:trPr>
        <w:tc>
          <w:tcPr>
            <w:tcW w:w="3358" w:type="dxa"/>
            <w:shd w:val="clear" w:color="auto" w:fill="C0C0C0"/>
          </w:tcPr>
          <w:p>
            <w:pPr>
              <w:pStyle w:val="TableParagraph"/>
              <w:spacing w:line="205" w:lineRule="exact"/>
              <w:ind w:left="107" w:right="114"/>
              <w:rPr>
                <w:b/>
                <w:sz w:val="20"/>
              </w:rPr>
            </w:pPr>
            <w:r>
              <w:rPr>
                <w:b/>
                <w:sz w:val="20"/>
              </w:rPr>
              <w:t>Skyline Schools, Inc.</w:t>
            </w:r>
          </w:p>
          <w:p>
            <w:pPr>
              <w:pStyle w:val="TableParagraph"/>
              <w:ind w:left="149" w:right="103"/>
              <w:rPr>
                <w:b/>
                <w:sz w:val="20"/>
              </w:rPr>
            </w:pPr>
            <w:r>
              <w:rPr>
                <w:b/>
                <w:sz w:val="20"/>
              </w:rPr>
              <w:t>Skyline Gila River Schools, LLC South Phoenix Academy, Inc. South Valley Academy, Inc.</w:t>
            </w:r>
          </w:p>
          <w:p>
            <w:pPr>
              <w:pStyle w:val="TableParagraph"/>
              <w:spacing w:before="2"/>
              <w:ind w:left="393" w:right="400" w:hanging="1"/>
              <w:rPr>
                <w:b/>
                <w:sz w:val="20"/>
              </w:rPr>
            </w:pPr>
            <w:r>
              <w:rPr>
                <w:b/>
                <w:sz w:val="20"/>
              </w:rPr>
              <w:t>AZ Compass Schools, Inc. Vector School District, Inc.</w:t>
            </w:r>
          </w:p>
          <w:p>
            <w:pPr>
              <w:pStyle w:val="TableParagraph"/>
              <w:spacing w:line="213" w:lineRule="exact"/>
              <w:ind w:left="107" w:right="114"/>
              <w:rPr>
                <w:b/>
                <w:sz w:val="20"/>
              </w:rPr>
            </w:pPr>
            <w:r>
              <w:rPr>
                <w:b/>
                <w:sz w:val="20"/>
              </w:rPr>
              <w:t>Success School</w:t>
            </w:r>
          </w:p>
        </w:tc>
        <w:tc>
          <w:tcPr>
            <w:tcW w:w="1891" w:type="dxa"/>
            <w:shd w:val="clear" w:color="auto" w:fill="C0C0C0"/>
          </w:tcPr>
          <w:p>
            <w:pPr>
              <w:pStyle w:val="TableParagraph"/>
              <w:jc w:val="left"/>
              <w:rPr>
                <w:rFonts w:ascii="Times New Roman"/>
                <w:sz w:val="20"/>
              </w:rPr>
            </w:pPr>
          </w:p>
        </w:tc>
        <w:tc>
          <w:tcPr>
            <w:tcW w:w="1260" w:type="dxa"/>
            <w:shd w:val="clear" w:color="auto" w:fill="C0C0C0"/>
          </w:tcPr>
          <w:p>
            <w:pPr>
              <w:pStyle w:val="TableParagraph"/>
              <w:jc w:val="left"/>
              <w:rPr>
                <w:rFonts w:ascii="Times New Roman"/>
                <w:sz w:val="22"/>
              </w:rPr>
            </w:pPr>
          </w:p>
          <w:p>
            <w:pPr>
              <w:pStyle w:val="TableParagraph"/>
              <w:jc w:val="left"/>
              <w:rPr>
                <w:rFonts w:ascii="Times New Roman"/>
                <w:sz w:val="22"/>
              </w:rPr>
            </w:pPr>
          </w:p>
          <w:p>
            <w:pPr>
              <w:pStyle w:val="TableParagraph"/>
              <w:spacing w:before="160"/>
              <w:ind w:right="372"/>
              <w:jc w:val="right"/>
              <w:rPr>
                <w:b/>
                <w:sz w:val="20"/>
              </w:rPr>
            </w:pPr>
            <w:r>
              <w:rPr>
                <w:b/>
                <w:sz w:val="20"/>
              </w:rPr>
              <w:t>1043</w:t>
            </w:r>
          </w:p>
        </w:tc>
        <w:tc>
          <w:tcPr>
            <w:tcW w:w="1620" w:type="dxa"/>
            <w:shd w:val="clear" w:color="auto" w:fill="C0C0C0"/>
          </w:tcPr>
          <w:p>
            <w:pPr>
              <w:pStyle w:val="TableParagraph"/>
              <w:jc w:val="left"/>
              <w:rPr>
                <w:rFonts w:ascii="Times New Roman"/>
                <w:sz w:val="20"/>
              </w:rPr>
            </w:pPr>
          </w:p>
        </w:tc>
        <w:tc>
          <w:tcPr>
            <w:tcW w:w="1261" w:type="dxa"/>
            <w:shd w:val="clear" w:color="auto" w:fill="C0C0C0"/>
          </w:tcPr>
          <w:p>
            <w:pPr>
              <w:pStyle w:val="TableParagraph"/>
              <w:jc w:val="left"/>
              <w:rPr>
                <w:rFonts w:ascii="Times New Roman"/>
                <w:sz w:val="22"/>
              </w:rPr>
            </w:pPr>
          </w:p>
          <w:p>
            <w:pPr>
              <w:pStyle w:val="TableParagraph"/>
              <w:jc w:val="left"/>
              <w:rPr>
                <w:rFonts w:ascii="Times New Roman"/>
                <w:sz w:val="22"/>
              </w:rPr>
            </w:pPr>
          </w:p>
          <w:p>
            <w:pPr>
              <w:pStyle w:val="TableParagraph"/>
              <w:spacing w:before="160"/>
              <w:ind w:right="540"/>
              <w:jc w:val="right"/>
              <w:rPr>
                <w:b/>
                <w:sz w:val="20"/>
              </w:rPr>
            </w:pPr>
            <w:r>
              <w:rPr>
                <w:b/>
                <w:w w:val="97"/>
                <w:sz w:val="20"/>
              </w:rPr>
              <w:t>7</w:t>
            </w:r>
          </w:p>
        </w:tc>
      </w:tr>
      <w:tr>
        <w:trPr>
          <w:trHeight w:val="300" w:hRule="atLeast"/>
        </w:trPr>
        <w:tc>
          <w:tcPr>
            <w:tcW w:w="3358" w:type="dxa"/>
          </w:tcPr>
          <w:p>
            <w:pPr>
              <w:pStyle w:val="TableParagraph"/>
              <w:spacing w:before="35"/>
              <w:ind w:right="217"/>
              <w:jc w:val="right"/>
              <w:rPr>
                <w:b/>
                <w:sz w:val="20"/>
              </w:rPr>
            </w:pPr>
            <w:r>
              <w:rPr>
                <w:b/>
                <w:sz w:val="20"/>
              </w:rPr>
              <w:t>Ronda Owens, Superintendent</w:t>
            </w:r>
          </w:p>
        </w:tc>
        <w:tc>
          <w:tcPr>
            <w:tcW w:w="1891" w:type="dxa"/>
          </w:tcPr>
          <w:p>
            <w:pPr>
              <w:pStyle w:val="TableParagraph"/>
              <w:spacing w:before="35"/>
              <w:ind w:left="148" w:right="158"/>
              <w:rPr>
                <w:b/>
                <w:sz w:val="20"/>
              </w:rPr>
            </w:pPr>
            <w:r>
              <w:rPr>
                <w:b/>
                <w:sz w:val="20"/>
              </w:rPr>
              <w:t>$169,998</w:t>
            </w:r>
          </w:p>
        </w:tc>
        <w:tc>
          <w:tcPr>
            <w:tcW w:w="1260" w:type="dxa"/>
          </w:tcPr>
          <w:p>
            <w:pPr>
              <w:pStyle w:val="TableParagraph"/>
              <w:jc w:val="left"/>
              <w:rPr>
                <w:rFonts w:ascii="Times New Roman"/>
                <w:sz w:val="20"/>
              </w:rPr>
            </w:pPr>
          </w:p>
        </w:tc>
        <w:tc>
          <w:tcPr>
            <w:tcW w:w="1620" w:type="dxa"/>
          </w:tcPr>
          <w:p>
            <w:pPr>
              <w:pStyle w:val="TableParagraph"/>
              <w:spacing w:before="35"/>
              <w:ind w:left="75" w:right="80"/>
              <w:rPr>
                <w:b/>
                <w:sz w:val="20"/>
              </w:rPr>
            </w:pPr>
            <w:r>
              <w:rPr>
                <w:b/>
                <w:sz w:val="20"/>
              </w:rPr>
              <w:t>$163</w:t>
            </w:r>
          </w:p>
        </w:tc>
        <w:tc>
          <w:tcPr>
            <w:tcW w:w="1261" w:type="dxa"/>
          </w:tcPr>
          <w:p>
            <w:pPr>
              <w:pStyle w:val="TableParagraph"/>
              <w:jc w:val="left"/>
              <w:rPr>
                <w:rFonts w:ascii="Times New Roman"/>
                <w:sz w:val="20"/>
              </w:rPr>
            </w:pPr>
          </w:p>
        </w:tc>
      </w:tr>
      <w:tr>
        <w:trPr>
          <w:trHeight w:val="680" w:hRule="atLeast"/>
        </w:trPr>
        <w:tc>
          <w:tcPr>
            <w:tcW w:w="3358" w:type="dxa"/>
          </w:tcPr>
          <w:p>
            <w:pPr>
              <w:pStyle w:val="TableParagraph"/>
              <w:spacing w:line="224" w:lineRule="exact"/>
              <w:ind w:left="107" w:right="114"/>
              <w:rPr>
                <w:b/>
                <w:sz w:val="20"/>
              </w:rPr>
            </w:pPr>
            <w:r>
              <w:rPr>
                <w:b/>
                <w:sz w:val="20"/>
              </w:rPr>
              <w:t>Heather Henderson, Board</w:t>
            </w:r>
          </w:p>
          <w:p>
            <w:pPr>
              <w:pStyle w:val="TableParagraph"/>
              <w:spacing w:line="226" w:lineRule="exact" w:before="7"/>
              <w:ind w:left="107" w:right="114"/>
              <w:rPr>
                <w:b/>
                <w:sz w:val="20"/>
              </w:rPr>
            </w:pPr>
            <w:r>
              <w:rPr>
                <w:b/>
                <w:sz w:val="20"/>
              </w:rPr>
              <w:t>Member and Chief Academy Officer</w:t>
            </w:r>
          </w:p>
        </w:tc>
        <w:tc>
          <w:tcPr>
            <w:tcW w:w="1891" w:type="dxa"/>
          </w:tcPr>
          <w:p>
            <w:pPr>
              <w:pStyle w:val="TableParagraph"/>
              <w:spacing w:before="1"/>
              <w:jc w:val="left"/>
              <w:rPr>
                <w:rFonts w:ascii="Times New Roman"/>
                <w:sz w:val="19"/>
              </w:rPr>
            </w:pPr>
          </w:p>
          <w:p>
            <w:pPr>
              <w:pStyle w:val="TableParagraph"/>
              <w:ind w:left="148" w:right="158"/>
              <w:rPr>
                <w:b/>
                <w:sz w:val="20"/>
              </w:rPr>
            </w:pPr>
            <w:r>
              <w:rPr>
                <w:b/>
                <w:sz w:val="20"/>
              </w:rPr>
              <w:t>$130,145</w:t>
            </w:r>
          </w:p>
        </w:tc>
        <w:tc>
          <w:tcPr>
            <w:tcW w:w="1260" w:type="dxa"/>
          </w:tcPr>
          <w:p>
            <w:pPr>
              <w:pStyle w:val="TableParagraph"/>
              <w:jc w:val="left"/>
              <w:rPr>
                <w:rFonts w:ascii="Times New Roman"/>
                <w:sz w:val="20"/>
              </w:rPr>
            </w:pPr>
          </w:p>
        </w:tc>
        <w:tc>
          <w:tcPr>
            <w:tcW w:w="1620" w:type="dxa"/>
          </w:tcPr>
          <w:p>
            <w:pPr>
              <w:pStyle w:val="TableParagraph"/>
              <w:spacing w:before="1"/>
              <w:jc w:val="left"/>
              <w:rPr>
                <w:rFonts w:ascii="Times New Roman"/>
                <w:sz w:val="19"/>
              </w:rPr>
            </w:pPr>
          </w:p>
          <w:p>
            <w:pPr>
              <w:pStyle w:val="TableParagraph"/>
              <w:ind w:left="75" w:right="80"/>
              <w:rPr>
                <w:b/>
                <w:sz w:val="20"/>
              </w:rPr>
            </w:pPr>
            <w:r>
              <w:rPr>
                <w:b/>
                <w:sz w:val="20"/>
              </w:rPr>
              <w:t>$187</w:t>
            </w:r>
          </w:p>
        </w:tc>
        <w:tc>
          <w:tcPr>
            <w:tcW w:w="1261" w:type="dxa"/>
          </w:tcPr>
          <w:p>
            <w:pPr>
              <w:pStyle w:val="TableParagraph"/>
              <w:jc w:val="left"/>
              <w:rPr>
                <w:rFonts w:ascii="Times New Roman"/>
                <w:sz w:val="20"/>
              </w:rPr>
            </w:pPr>
          </w:p>
        </w:tc>
      </w:tr>
      <w:tr>
        <w:trPr>
          <w:trHeight w:val="457" w:hRule="atLeast"/>
        </w:trPr>
        <w:tc>
          <w:tcPr>
            <w:tcW w:w="3358" w:type="dxa"/>
          </w:tcPr>
          <w:p>
            <w:pPr>
              <w:pStyle w:val="TableParagraph"/>
              <w:spacing w:line="223" w:lineRule="auto" w:before="5"/>
              <w:ind w:left="820" w:hanging="327"/>
              <w:jc w:val="left"/>
              <w:rPr>
                <w:b/>
                <w:sz w:val="20"/>
              </w:rPr>
            </w:pPr>
            <w:r>
              <w:rPr>
                <w:b/>
                <w:sz w:val="20"/>
              </w:rPr>
              <w:t>Melissa Hodaway, Board Member and COO</w:t>
            </w:r>
          </w:p>
        </w:tc>
        <w:tc>
          <w:tcPr>
            <w:tcW w:w="1891" w:type="dxa"/>
          </w:tcPr>
          <w:p>
            <w:pPr>
              <w:pStyle w:val="TableParagraph"/>
              <w:spacing w:before="102"/>
              <w:ind w:left="148" w:right="158"/>
              <w:rPr>
                <w:b/>
                <w:sz w:val="20"/>
              </w:rPr>
            </w:pPr>
            <w:r>
              <w:rPr>
                <w:b/>
                <w:sz w:val="20"/>
              </w:rPr>
              <w:t>$124,655</w:t>
            </w:r>
          </w:p>
        </w:tc>
        <w:tc>
          <w:tcPr>
            <w:tcW w:w="1260" w:type="dxa"/>
          </w:tcPr>
          <w:p>
            <w:pPr>
              <w:pStyle w:val="TableParagraph"/>
              <w:jc w:val="left"/>
              <w:rPr>
                <w:rFonts w:ascii="Times New Roman"/>
                <w:sz w:val="20"/>
              </w:rPr>
            </w:pPr>
          </w:p>
        </w:tc>
        <w:tc>
          <w:tcPr>
            <w:tcW w:w="1620" w:type="dxa"/>
          </w:tcPr>
          <w:p>
            <w:pPr>
              <w:pStyle w:val="TableParagraph"/>
              <w:spacing w:before="102"/>
              <w:ind w:left="75" w:right="80"/>
              <w:rPr>
                <w:b/>
                <w:sz w:val="20"/>
              </w:rPr>
            </w:pPr>
            <w:r>
              <w:rPr>
                <w:b/>
                <w:sz w:val="20"/>
              </w:rPr>
              <w:t>$179</w:t>
            </w:r>
          </w:p>
        </w:tc>
        <w:tc>
          <w:tcPr>
            <w:tcW w:w="1261" w:type="dxa"/>
          </w:tcPr>
          <w:p>
            <w:pPr>
              <w:pStyle w:val="TableParagraph"/>
              <w:jc w:val="left"/>
              <w:rPr>
                <w:rFonts w:ascii="Times New Roman"/>
                <w:sz w:val="20"/>
              </w:rPr>
            </w:pPr>
          </w:p>
        </w:tc>
      </w:tr>
      <w:tr>
        <w:trPr>
          <w:trHeight w:val="280" w:hRule="atLeast"/>
        </w:trPr>
        <w:tc>
          <w:tcPr>
            <w:tcW w:w="3358" w:type="dxa"/>
          </w:tcPr>
          <w:p>
            <w:pPr>
              <w:pStyle w:val="TableParagraph"/>
              <w:spacing w:before="33"/>
              <w:ind w:left="726"/>
              <w:jc w:val="left"/>
              <w:rPr>
                <w:b/>
                <w:sz w:val="20"/>
              </w:rPr>
            </w:pPr>
            <w:r>
              <w:rPr>
                <w:b/>
                <w:sz w:val="20"/>
              </w:rPr>
              <w:t>Administrative Sum</w:t>
            </w:r>
          </w:p>
        </w:tc>
        <w:tc>
          <w:tcPr>
            <w:tcW w:w="1891" w:type="dxa"/>
          </w:tcPr>
          <w:p>
            <w:pPr>
              <w:pStyle w:val="TableParagraph"/>
              <w:spacing w:before="33"/>
              <w:ind w:left="148" w:right="158"/>
              <w:rPr>
                <w:b/>
                <w:sz w:val="20"/>
              </w:rPr>
            </w:pPr>
            <w:r>
              <w:rPr>
                <w:b/>
                <w:sz w:val="20"/>
              </w:rPr>
              <w:t>$254,800</w:t>
            </w:r>
          </w:p>
        </w:tc>
        <w:tc>
          <w:tcPr>
            <w:tcW w:w="1260" w:type="dxa"/>
          </w:tcPr>
          <w:p>
            <w:pPr>
              <w:pStyle w:val="TableParagraph"/>
              <w:jc w:val="left"/>
              <w:rPr>
                <w:rFonts w:ascii="Times New Roman"/>
                <w:sz w:val="20"/>
              </w:rPr>
            </w:pPr>
          </w:p>
        </w:tc>
        <w:tc>
          <w:tcPr>
            <w:tcW w:w="1620" w:type="dxa"/>
          </w:tcPr>
          <w:p>
            <w:pPr>
              <w:pStyle w:val="TableParagraph"/>
              <w:spacing w:before="33"/>
              <w:ind w:left="75" w:right="80"/>
              <w:rPr>
                <w:b/>
                <w:sz w:val="20"/>
              </w:rPr>
            </w:pPr>
            <w:r>
              <w:rPr>
                <w:b/>
                <w:sz w:val="20"/>
              </w:rPr>
              <w:t>$366</w:t>
            </w:r>
          </w:p>
        </w:tc>
        <w:tc>
          <w:tcPr>
            <w:tcW w:w="1261" w:type="dxa"/>
          </w:tcPr>
          <w:p>
            <w:pPr>
              <w:pStyle w:val="TableParagraph"/>
              <w:jc w:val="left"/>
              <w:rPr>
                <w:rFonts w:ascii="Times New Roman"/>
                <w:sz w:val="20"/>
              </w:rPr>
            </w:pPr>
          </w:p>
        </w:tc>
      </w:tr>
      <w:tr>
        <w:trPr>
          <w:trHeight w:val="280" w:hRule="atLeast"/>
        </w:trPr>
        <w:tc>
          <w:tcPr>
            <w:tcW w:w="3358" w:type="dxa"/>
            <w:shd w:val="clear" w:color="auto" w:fill="C0C0C0"/>
          </w:tcPr>
          <w:p>
            <w:pPr>
              <w:pStyle w:val="TableParagraph"/>
              <w:spacing w:before="33"/>
              <w:ind w:left="330"/>
              <w:jc w:val="left"/>
              <w:rPr>
                <w:b/>
                <w:sz w:val="20"/>
              </w:rPr>
            </w:pPr>
            <w:r>
              <w:rPr>
                <w:b/>
                <w:sz w:val="20"/>
              </w:rPr>
              <w:t>The Charter Foundation, Inc.</w:t>
            </w:r>
          </w:p>
        </w:tc>
        <w:tc>
          <w:tcPr>
            <w:tcW w:w="1891" w:type="dxa"/>
            <w:shd w:val="clear" w:color="auto" w:fill="C0C0C0"/>
          </w:tcPr>
          <w:p>
            <w:pPr>
              <w:pStyle w:val="TableParagraph"/>
              <w:jc w:val="left"/>
              <w:rPr>
                <w:rFonts w:ascii="Times New Roman"/>
                <w:sz w:val="20"/>
              </w:rPr>
            </w:pPr>
          </w:p>
        </w:tc>
        <w:tc>
          <w:tcPr>
            <w:tcW w:w="1260" w:type="dxa"/>
            <w:shd w:val="clear" w:color="auto" w:fill="C0C0C0"/>
          </w:tcPr>
          <w:p>
            <w:pPr>
              <w:pStyle w:val="TableParagraph"/>
              <w:spacing w:before="33"/>
              <w:ind w:left="345" w:right="412"/>
              <w:rPr>
                <w:b/>
                <w:sz w:val="20"/>
              </w:rPr>
            </w:pPr>
            <w:r>
              <w:rPr>
                <w:b/>
                <w:sz w:val="20"/>
              </w:rPr>
              <w:t>729</w:t>
            </w:r>
          </w:p>
        </w:tc>
        <w:tc>
          <w:tcPr>
            <w:tcW w:w="1620" w:type="dxa"/>
            <w:shd w:val="clear" w:color="auto" w:fill="C0C0C0"/>
          </w:tcPr>
          <w:p>
            <w:pPr>
              <w:pStyle w:val="TableParagraph"/>
              <w:jc w:val="left"/>
              <w:rPr>
                <w:rFonts w:ascii="Times New Roman"/>
                <w:sz w:val="20"/>
              </w:rPr>
            </w:pPr>
          </w:p>
        </w:tc>
        <w:tc>
          <w:tcPr>
            <w:tcW w:w="1261" w:type="dxa"/>
            <w:shd w:val="clear" w:color="auto" w:fill="C0C0C0"/>
          </w:tcPr>
          <w:p>
            <w:pPr>
              <w:pStyle w:val="TableParagraph"/>
              <w:spacing w:before="21"/>
              <w:ind w:right="525"/>
              <w:jc w:val="right"/>
              <w:rPr>
                <w:b/>
                <w:sz w:val="22"/>
              </w:rPr>
            </w:pPr>
            <w:r>
              <w:rPr>
                <w:b/>
                <w:w w:val="100"/>
                <w:sz w:val="22"/>
              </w:rPr>
              <w:t>5</w:t>
            </w:r>
          </w:p>
        </w:tc>
      </w:tr>
      <w:tr>
        <w:trPr>
          <w:trHeight w:val="300" w:hRule="atLeast"/>
        </w:trPr>
        <w:tc>
          <w:tcPr>
            <w:tcW w:w="3358" w:type="dxa"/>
          </w:tcPr>
          <w:p>
            <w:pPr>
              <w:pStyle w:val="TableParagraph"/>
              <w:spacing w:before="35"/>
              <w:ind w:left="738"/>
              <w:jc w:val="left"/>
              <w:rPr>
                <w:b/>
                <w:sz w:val="20"/>
              </w:rPr>
            </w:pPr>
            <w:r>
              <w:rPr>
                <w:b/>
                <w:sz w:val="20"/>
              </w:rPr>
              <w:t>Reginald Barr, CEO</w:t>
            </w:r>
          </w:p>
        </w:tc>
        <w:tc>
          <w:tcPr>
            <w:tcW w:w="1891" w:type="dxa"/>
          </w:tcPr>
          <w:p>
            <w:pPr>
              <w:pStyle w:val="TableParagraph"/>
              <w:spacing w:before="35"/>
              <w:ind w:left="148" w:right="158"/>
              <w:rPr>
                <w:b/>
                <w:sz w:val="20"/>
              </w:rPr>
            </w:pPr>
            <w:r>
              <w:rPr>
                <w:b/>
                <w:sz w:val="20"/>
              </w:rPr>
              <w:t>$113,928</w:t>
            </w:r>
          </w:p>
        </w:tc>
        <w:tc>
          <w:tcPr>
            <w:tcW w:w="1260" w:type="dxa"/>
          </w:tcPr>
          <w:p>
            <w:pPr>
              <w:pStyle w:val="TableParagraph"/>
              <w:jc w:val="left"/>
              <w:rPr>
                <w:rFonts w:ascii="Times New Roman"/>
                <w:sz w:val="20"/>
              </w:rPr>
            </w:pPr>
          </w:p>
        </w:tc>
        <w:tc>
          <w:tcPr>
            <w:tcW w:w="1620" w:type="dxa"/>
          </w:tcPr>
          <w:p>
            <w:pPr>
              <w:pStyle w:val="TableParagraph"/>
              <w:spacing w:before="35"/>
              <w:ind w:left="75" w:right="80"/>
              <w:rPr>
                <w:b/>
                <w:sz w:val="20"/>
              </w:rPr>
            </w:pPr>
            <w:r>
              <w:rPr>
                <w:b/>
                <w:sz w:val="20"/>
              </w:rPr>
              <w:t>$156</w:t>
            </w:r>
          </w:p>
        </w:tc>
        <w:tc>
          <w:tcPr>
            <w:tcW w:w="1261" w:type="dxa"/>
          </w:tcPr>
          <w:p>
            <w:pPr>
              <w:pStyle w:val="TableParagraph"/>
              <w:jc w:val="left"/>
              <w:rPr>
                <w:rFonts w:ascii="Times New Roman"/>
                <w:sz w:val="20"/>
              </w:rPr>
            </w:pPr>
          </w:p>
        </w:tc>
      </w:tr>
      <w:tr>
        <w:trPr>
          <w:trHeight w:val="280" w:hRule="atLeast"/>
        </w:trPr>
        <w:tc>
          <w:tcPr>
            <w:tcW w:w="3358" w:type="dxa"/>
            <w:shd w:val="clear" w:color="auto" w:fill="C0C0C0"/>
          </w:tcPr>
          <w:p>
            <w:pPr>
              <w:pStyle w:val="TableParagraph"/>
              <w:jc w:val="left"/>
              <w:rPr>
                <w:rFonts w:ascii="Times New Roman"/>
                <w:sz w:val="20"/>
              </w:rPr>
            </w:pPr>
          </w:p>
        </w:tc>
        <w:tc>
          <w:tcPr>
            <w:tcW w:w="1891" w:type="dxa"/>
            <w:shd w:val="clear" w:color="auto" w:fill="C0C0C0"/>
          </w:tcPr>
          <w:p>
            <w:pPr>
              <w:pStyle w:val="TableParagraph"/>
              <w:jc w:val="left"/>
              <w:rPr>
                <w:rFonts w:ascii="Times New Roman"/>
                <w:sz w:val="20"/>
              </w:rPr>
            </w:pPr>
          </w:p>
        </w:tc>
        <w:tc>
          <w:tcPr>
            <w:tcW w:w="1260" w:type="dxa"/>
            <w:shd w:val="clear" w:color="auto" w:fill="C0C0C0"/>
          </w:tcPr>
          <w:p>
            <w:pPr>
              <w:pStyle w:val="TableParagraph"/>
              <w:jc w:val="left"/>
              <w:rPr>
                <w:rFonts w:ascii="Times New Roman"/>
                <w:sz w:val="20"/>
              </w:rPr>
            </w:pPr>
          </w:p>
        </w:tc>
        <w:tc>
          <w:tcPr>
            <w:tcW w:w="1620" w:type="dxa"/>
            <w:shd w:val="clear" w:color="auto" w:fill="C0C0C0"/>
          </w:tcPr>
          <w:p>
            <w:pPr>
              <w:pStyle w:val="TableParagraph"/>
              <w:jc w:val="left"/>
              <w:rPr>
                <w:rFonts w:ascii="Times New Roman"/>
                <w:sz w:val="20"/>
              </w:rPr>
            </w:pPr>
          </w:p>
        </w:tc>
        <w:tc>
          <w:tcPr>
            <w:tcW w:w="1261" w:type="dxa"/>
            <w:shd w:val="clear" w:color="auto" w:fill="C0C0C0"/>
          </w:tcPr>
          <w:p>
            <w:pPr>
              <w:pStyle w:val="TableParagraph"/>
              <w:jc w:val="left"/>
              <w:rPr>
                <w:rFonts w:ascii="Times New Roman"/>
                <w:sz w:val="20"/>
              </w:rPr>
            </w:pPr>
          </w:p>
        </w:tc>
      </w:tr>
    </w:tbl>
    <w:p>
      <w:pPr>
        <w:pStyle w:val="BodyText"/>
        <w:rPr>
          <w:rFonts w:ascii="Times New Roman"/>
          <w:sz w:val="20"/>
        </w:rPr>
      </w:pPr>
    </w:p>
    <w:p>
      <w:pPr>
        <w:pStyle w:val="BodyText"/>
        <w:spacing w:before="7"/>
        <w:rPr>
          <w:rFonts w:ascii="Times New Roman"/>
          <w:sz w:val="22"/>
        </w:rPr>
      </w:pPr>
    </w:p>
    <w:p>
      <w:pPr>
        <w:spacing w:line="276" w:lineRule="auto" w:before="0"/>
        <w:ind w:left="140" w:right="131" w:firstLine="0"/>
        <w:jc w:val="both"/>
        <w:rPr>
          <w:sz w:val="24"/>
        </w:rPr>
      </w:pPr>
      <w:r>
        <w:rPr>
          <w:sz w:val="24"/>
        </w:rPr>
        <w:t>As noted </w:t>
      </w:r>
      <w:r>
        <w:rPr>
          <w:b/>
          <w:sz w:val="24"/>
          <w:u w:val="thick"/>
        </w:rPr>
        <w:t>there is a lack of compliance on many of the form 990s</w:t>
      </w:r>
      <w:r>
        <w:rPr>
          <w:b/>
          <w:sz w:val="24"/>
        </w:rPr>
        <w:t> </w:t>
      </w:r>
      <w:r>
        <w:rPr>
          <w:sz w:val="24"/>
        </w:rPr>
        <w:t>sent into the IRS regarding salaries paid to the highest paid members of the organization. This listing is a sample from the available data.</w:t>
      </w:r>
    </w:p>
    <w:p>
      <w:pPr>
        <w:pStyle w:val="BodyText"/>
        <w:spacing w:before="201"/>
        <w:ind w:left="140"/>
        <w:jc w:val="both"/>
      </w:pPr>
      <w:r>
        <w:rPr/>
        <w:t>Notes:</w:t>
      </w:r>
    </w:p>
    <w:p>
      <w:pPr>
        <w:pStyle w:val="BodyText"/>
        <w:spacing w:before="10"/>
        <w:rPr>
          <w:sz w:val="20"/>
        </w:rPr>
      </w:pPr>
    </w:p>
    <w:p>
      <w:pPr>
        <w:pStyle w:val="ListParagraph"/>
        <w:numPr>
          <w:ilvl w:val="0"/>
          <w:numId w:val="12"/>
        </w:numPr>
        <w:tabs>
          <w:tab w:pos="861" w:val="left" w:leader="none"/>
        </w:tabs>
        <w:spacing w:line="237" w:lineRule="auto" w:before="0" w:after="0"/>
        <w:ind w:left="860" w:right="131" w:hanging="360"/>
        <w:jc w:val="both"/>
        <w:rPr>
          <w:sz w:val="24"/>
        </w:rPr>
      </w:pPr>
      <w:r>
        <w:rPr>
          <w:sz w:val="24"/>
        </w:rPr>
        <w:t>Issue: Administrative salary totals on Page 2 and 10 of the AFR that DO NOT correlate with the listed salary amounts on the IRS 990. This discrepancy is discussed under the Discrepancies in Reports</w:t>
      </w:r>
      <w:r>
        <w:rPr>
          <w:spacing w:val="-37"/>
          <w:sz w:val="24"/>
        </w:rPr>
        <w:t> </w:t>
      </w:r>
      <w:r>
        <w:rPr>
          <w:sz w:val="24"/>
        </w:rPr>
        <w:t>Section.</w:t>
      </w:r>
    </w:p>
    <w:p>
      <w:pPr>
        <w:pStyle w:val="ListParagraph"/>
        <w:numPr>
          <w:ilvl w:val="0"/>
          <w:numId w:val="12"/>
        </w:numPr>
        <w:tabs>
          <w:tab w:pos="861" w:val="left" w:leader="none"/>
        </w:tabs>
        <w:spacing w:line="240" w:lineRule="auto" w:before="0" w:after="0"/>
        <w:ind w:left="860" w:right="126" w:hanging="360"/>
        <w:jc w:val="both"/>
        <w:rPr>
          <w:sz w:val="24"/>
        </w:rPr>
      </w:pPr>
      <w:r>
        <w:rPr>
          <w:sz w:val="24"/>
        </w:rPr>
        <w:t>Issue: Profits from related-party transactions with for profit subsidiaries are not included in administrative salaries. This constitutes another source of income for ownership that is NOT in public data</w:t>
      </w:r>
      <w:r>
        <w:rPr>
          <w:spacing w:val="-27"/>
          <w:sz w:val="24"/>
        </w:rPr>
        <w:t> </w:t>
      </w:r>
      <w:r>
        <w:rPr>
          <w:sz w:val="24"/>
        </w:rPr>
        <w:t>set.</w:t>
      </w:r>
    </w:p>
    <w:p>
      <w:pPr>
        <w:pStyle w:val="ListParagraph"/>
        <w:numPr>
          <w:ilvl w:val="0"/>
          <w:numId w:val="12"/>
        </w:numPr>
        <w:tabs>
          <w:tab w:pos="860" w:val="left" w:leader="none"/>
          <w:tab w:pos="861" w:val="left" w:leader="none"/>
        </w:tabs>
        <w:spacing w:line="240" w:lineRule="auto" w:before="0" w:after="0"/>
        <w:ind w:left="860" w:right="0" w:hanging="360"/>
        <w:jc w:val="left"/>
        <w:rPr>
          <w:sz w:val="24"/>
        </w:rPr>
      </w:pPr>
      <w:r>
        <w:rPr>
          <w:sz w:val="24"/>
        </w:rPr>
        <w:t>Data Used: The salaries listed are from 2013-2014 using the IRS Form 990</w:t>
      </w:r>
      <w:r>
        <w:rPr>
          <w:spacing w:val="-57"/>
          <w:sz w:val="24"/>
        </w:rPr>
        <w:t> </w:t>
      </w:r>
      <w:r>
        <w:rPr>
          <w:sz w:val="24"/>
        </w:rPr>
        <w:t>Data,</w:t>
      </w:r>
    </w:p>
    <w:p>
      <w:pPr>
        <w:spacing w:after="0" w:line="240" w:lineRule="auto"/>
        <w:jc w:val="left"/>
        <w:rPr>
          <w:sz w:val="24"/>
        </w:rPr>
        <w:sectPr>
          <w:pgSz w:w="12240" w:h="15840"/>
          <w:pgMar w:header="740" w:footer="1002" w:top="940" w:bottom="1200" w:left="1300" w:right="1300"/>
        </w:sectPr>
      </w:pPr>
    </w:p>
    <w:p>
      <w:pPr>
        <w:pStyle w:val="BodyText"/>
        <w:rPr>
          <w:sz w:val="20"/>
        </w:rPr>
      </w:pPr>
    </w:p>
    <w:p>
      <w:pPr>
        <w:pStyle w:val="BodyText"/>
        <w:spacing w:before="5"/>
        <w:rPr>
          <w:sz w:val="21"/>
        </w:rPr>
      </w:pPr>
    </w:p>
    <w:p>
      <w:pPr>
        <w:pStyle w:val="ListParagraph"/>
        <w:numPr>
          <w:ilvl w:val="0"/>
          <w:numId w:val="13"/>
        </w:numPr>
        <w:tabs>
          <w:tab w:pos="461" w:val="left" w:leader="none"/>
        </w:tabs>
        <w:spacing w:line="240" w:lineRule="auto" w:before="1" w:after="0"/>
        <w:ind w:left="460" w:right="108" w:hanging="360"/>
        <w:jc w:val="both"/>
        <w:rPr>
          <w:sz w:val="24"/>
        </w:rPr>
      </w:pPr>
      <w:r>
        <w:rPr>
          <w:sz w:val="24"/>
        </w:rPr>
        <w:t>A</w:t>
      </w:r>
      <w:r>
        <w:rPr>
          <w:spacing w:val="-7"/>
          <w:sz w:val="24"/>
        </w:rPr>
        <w:t> </w:t>
      </w:r>
      <w:r>
        <w:rPr>
          <w:sz w:val="24"/>
        </w:rPr>
        <w:t>disturbing</w:t>
      </w:r>
      <w:r>
        <w:rPr>
          <w:spacing w:val="-9"/>
          <w:sz w:val="24"/>
        </w:rPr>
        <w:t> </w:t>
      </w:r>
      <w:r>
        <w:rPr>
          <w:sz w:val="24"/>
        </w:rPr>
        <w:t>number</w:t>
      </w:r>
      <w:r>
        <w:rPr>
          <w:spacing w:val="-11"/>
          <w:sz w:val="24"/>
        </w:rPr>
        <w:t> </w:t>
      </w:r>
      <w:r>
        <w:rPr>
          <w:sz w:val="24"/>
        </w:rPr>
        <w:t>of</w:t>
      </w:r>
      <w:r>
        <w:rPr>
          <w:spacing w:val="-7"/>
          <w:sz w:val="24"/>
        </w:rPr>
        <w:t> </w:t>
      </w:r>
      <w:r>
        <w:rPr>
          <w:sz w:val="24"/>
        </w:rPr>
        <w:t>highly</w:t>
      </w:r>
      <w:r>
        <w:rPr>
          <w:spacing w:val="-11"/>
          <w:sz w:val="24"/>
        </w:rPr>
        <w:t> </w:t>
      </w:r>
      <w:r>
        <w:rPr>
          <w:sz w:val="24"/>
        </w:rPr>
        <w:t>compensated</w:t>
      </w:r>
      <w:r>
        <w:rPr>
          <w:spacing w:val="-7"/>
          <w:sz w:val="24"/>
        </w:rPr>
        <w:t> </w:t>
      </w:r>
      <w:r>
        <w:rPr>
          <w:sz w:val="24"/>
        </w:rPr>
        <w:t>individuals</w:t>
      </w:r>
      <w:r>
        <w:rPr>
          <w:spacing w:val="-8"/>
          <w:sz w:val="24"/>
        </w:rPr>
        <w:t> </w:t>
      </w:r>
      <w:r>
        <w:rPr>
          <w:sz w:val="24"/>
        </w:rPr>
        <w:t>were</w:t>
      </w:r>
      <w:r>
        <w:rPr>
          <w:spacing w:val="-8"/>
          <w:sz w:val="24"/>
        </w:rPr>
        <w:t> </w:t>
      </w:r>
      <w:r>
        <w:rPr>
          <w:sz w:val="24"/>
        </w:rPr>
        <w:t>also</w:t>
      </w:r>
      <w:r>
        <w:rPr>
          <w:spacing w:val="-1"/>
          <w:sz w:val="24"/>
        </w:rPr>
        <w:t> </w:t>
      </w:r>
      <w:r>
        <w:rPr>
          <w:sz w:val="24"/>
        </w:rPr>
        <w:t>deriving</w:t>
      </w:r>
      <w:r>
        <w:rPr>
          <w:spacing w:val="-9"/>
          <w:sz w:val="24"/>
        </w:rPr>
        <w:t> </w:t>
      </w:r>
      <w:r>
        <w:rPr>
          <w:sz w:val="24"/>
        </w:rPr>
        <w:t>full</w:t>
      </w:r>
      <w:r>
        <w:rPr>
          <w:spacing w:val="-9"/>
          <w:sz w:val="24"/>
        </w:rPr>
        <w:t> </w:t>
      </w:r>
      <w:r>
        <w:rPr>
          <w:sz w:val="24"/>
        </w:rPr>
        <w:t>time salaries at other non-profit and for profit businesses. This included fully compensated</w:t>
      </w:r>
      <w:r>
        <w:rPr>
          <w:spacing w:val="-16"/>
          <w:sz w:val="24"/>
        </w:rPr>
        <w:t> </w:t>
      </w:r>
      <w:r>
        <w:rPr>
          <w:sz w:val="24"/>
        </w:rPr>
        <w:t>ministers,</w:t>
      </w:r>
      <w:r>
        <w:rPr>
          <w:spacing w:val="-17"/>
          <w:sz w:val="24"/>
        </w:rPr>
        <w:t> </w:t>
      </w:r>
      <w:r>
        <w:rPr>
          <w:sz w:val="24"/>
        </w:rPr>
        <w:t>charter</w:t>
      </w:r>
      <w:r>
        <w:rPr>
          <w:spacing w:val="-17"/>
          <w:sz w:val="24"/>
        </w:rPr>
        <w:t> </w:t>
      </w:r>
      <w:r>
        <w:rPr>
          <w:sz w:val="24"/>
        </w:rPr>
        <w:t>holders</w:t>
      </w:r>
      <w:r>
        <w:rPr>
          <w:spacing w:val="-17"/>
          <w:sz w:val="24"/>
        </w:rPr>
        <w:t> </w:t>
      </w:r>
      <w:r>
        <w:rPr>
          <w:sz w:val="24"/>
        </w:rPr>
        <w:t>with</w:t>
      </w:r>
      <w:r>
        <w:rPr>
          <w:spacing w:val="-16"/>
          <w:sz w:val="24"/>
        </w:rPr>
        <w:t> </w:t>
      </w:r>
      <w:r>
        <w:rPr>
          <w:sz w:val="24"/>
        </w:rPr>
        <w:t>other</w:t>
      </w:r>
      <w:r>
        <w:rPr>
          <w:spacing w:val="-17"/>
          <w:sz w:val="24"/>
        </w:rPr>
        <w:t> </w:t>
      </w:r>
      <w:r>
        <w:rPr>
          <w:sz w:val="24"/>
        </w:rPr>
        <w:t>employment</w:t>
      </w:r>
      <w:r>
        <w:rPr>
          <w:spacing w:val="-18"/>
          <w:sz w:val="24"/>
        </w:rPr>
        <w:t> </w:t>
      </w:r>
      <w:r>
        <w:rPr>
          <w:sz w:val="24"/>
        </w:rPr>
        <w:t>and</w:t>
      </w:r>
      <w:r>
        <w:rPr>
          <w:spacing w:val="-16"/>
          <w:sz w:val="24"/>
        </w:rPr>
        <w:t> </w:t>
      </w:r>
      <w:r>
        <w:rPr>
          <w:sz w:val="24"/>
        </w:rPr>
        <w:t>salary</w:t>
      </w:r>
      <w:r>
        <w:rPr>
          <w:spacing w:val="-19"/>
          <w:sz w:val="24"/>
        </w:rPr>
        <w:t> </w:t>
      </w:r>
      <w:r>
        <w:rPr>
          <w:sz w:val="24"/>
        </w:rPr>
        <w:t>sources (source: IRS 990s from those organizations), and other combinations of multi- sources of income. As noted the audits DO NOT include compensation from related for</w:t>
      </w:r>
      <w:r>
        <w:rPr>
          <w:spacing w:val="-14"/>
          <w:sz w:val="24"/>
        </w:rPr>
        <w:t> </w:t>
      </w:r>
      <w:r>
        <w:rPr>
          <w:sz w:val="24"/>
        </w:rPr>
        <w:t>profits.</w:t>
      </w:r>
    </w:p>
    <w:p>
      <w:pPr>
        <w:pStyle w:val="ListParagraph"/>
        <w:numPr>
          <w:ilvl w:val="0"/>
          <w:numId w:val="13"/>
        </w:numPr>
        <w:tabs>
          <w:tab w:pos="461" w:val="left" w:leader="none"/>
        </w:tabs>
        <w:spacing w:line="235" w:lineRule="auto" w:before="6" w:after="0"/>
        <w:ind w:left="460" w:right="111" w:hanging="360"/>
        <w:jc w:val="both"/>
        <w:rPr>
          <w:sz w:val="24"/>
        </w:rPr>
      </w:pPr>
      <w:r>
        <w:rPr>
          <w:sz w:val="24"/>
        </w:rPr>
        <w:t>The sample used for the superintendent’s salaries was from 2014-2015. (Source: Superintendent Salaries Report from Arizona Administrators’ Association and others)</w:t>
      </w:r>
    </w:p>
    <w:p>
      <w:pPr>
        <w:pStyle w:val="ListParagraph"/>
        <w:numPr>
          <w:ilvl w:val="0"/>
          <w:numId w:val="13"/>
        </w:numPr>
        <w:tabs>
          <w:tab w:pos="461" w:val="left" w:leader="none"/>
        </w:tabs>
        <w:spacing w:line="240" w:lineRule="auto" w:before="0" w:after="0"/>
        <w:ind w:left="460" w:right="114" w:hanging="360"/>
        <w:jc w:val="both"/>
        <w:rPr>
          <w:sz w:val="24"/>
        </w:rPr>
      </w:pPr>
      <w:r>
        <w:rPr>
          <w:sz w:val="24"/>
        </w:rPr>
        <w:t>Travel Expenditures will be part of the focus in the third report. Twenty charters spent more than $100,000 on travel in 2013-2014. There are no restrictions on how this money is spent. Cars and other travel expenses are often in the benefit packages of charter CEOs. These can also be part of a superintendent’s</w:t>
      </w:r>
      <w:r>
        <w:rPr>
          <w:spacing w:val="-44"/>
          <w:sz w:val="24"/>
        </w:rPr>
        <w:t> </w:t>
      </w:r>
      <w:r>
        <w:rPr>
          <w:sz w:val="24"/>
        </w:rPr>
        <w:t>package in a district. However high end luxury cars and travel to other countries are not district paid for expenses. These type of administrative perks were noted in the audits. At least two had travel in excess of $1 million</w:t>
      </w:r>
      <w:r>
        <w:rPr>
          <w:spacing w:val="-47"/>
          <w:sz w:val="24"/>
        </w:rPr>
        <w:t> </w:t>
      </w:r>
      <w:r>
        <w:rPr>
          <w:sz w:val="24"/>
        </w:rPr>
        <w:t>dollars.</w:t>
      </w:r>
    </w:p>
    <w:p>
      <w:pPr>
        <w:spacing w:after="0" w:line="240" w:lineRule="auto"/>
        <w:jc w:val="both"/>
        <w:rPr>
          <w:sz w:val="24"/>
        </w:rPr>
        <w:sectPr>
          <w:pgSz w:w="12240" w:h="15840"/>
          <w:pgMar w:header="740" w:footer="1002" w:top="940" w:bottom="1200" w:left="1700" w:right="1320"/>
        </w:sectPr>
      </w:pPr>
    </w:p>
    <w:p>
      <w:pPr>
        <w:pStyle w:val="BodyText"/>
        <w:rPr>
          <w:sz w:val="20"/>
        </w:rPr>
      </w:pPr>
    </w:p>
    <w:p>
      <w:pPr>
        <w:pStyle w:val="BodyText"/>
        <w:rPr>
          <w:sz w:val="20"/>
        </w:rPr>
      </w:pPr>
    </w:p>
    <w:p>
      <w:pPr>
        <w:pStyle w:val="BodyText"/>
        <w:spacing w:before="3"/>
        <w:rPr>
          <w:sz w:val="28"/>
        </w:rPr>
      </w:pPr>
    </w:p>
    <w:p>
      <w:pPr>
        <w:pStyle w:val="BodyText"/>
        <w:ind w:left="2740"/>
        <w:rPr>
          <w:sz w:val="20"/>
        </w:rPr>
      </w:pPr>
      <w:r>
        <w:rPr>
          <w:sz w:val="20"/>
        </w:rPr>
        <w:drawing>
          <wp:inline distT="0" distB="0" distL="0" distR="0">
            <wp:extent cx="2745487" cy="914400"/>
            <wp:effectExtent l="0" t="0" r="0" b="0"/>
            <wp:docPr id="31" name="image18.jpeg" descr=""/>
            <wp:cNvGraphicFramePr>
              <a:graphicFrameLocks noChangeAspect="1"/>
            </wp:cNvGraphicFramePr>
            <a:graphic>
              <a:graphicData uri="http://schemas.openxmlformats.org/drawingml/2006/picture">
                <pic:pic>
                  <pic:nvPicPr>
                    <pic:cNvPr id="32" name="image18.jpeg"/>
                    <pic:cNvPicPr/>
                  </pic:nvPicPr>
                  <pic:blipFill>
                    <a:blip r:embed="rId39" cstate="print"/>
                    <a:stretch>
                      <a:fillRect/>
                    </a:stretch>
                  </pic:blipFill>
                  <pic:spPr>
                    <a:xfrm>
                      <a:off x="0" y="0"/>
                      <a:ext cx="2745487" cy="914400"/>
                    </a:xfrm>
                    <a:prstGeom prst="rect">
                      <a:avLst/>
                    </a:prstGeom>
                  </pic:spPr>
                </pic:pic>
              </a:graphicData>
            </a:graphic>
          </wp:inline>
        </w:drawing>
      </w:r>
      <w:r>
        <w:rPr>
          <w:sz w:val="20"/>
        </w:rPr>
      </w:r>
    </w:p>
    <w:p>
      <w:pPr>
        <w:pStyle w:val="BodyText"/>
        <w:rPr>
          <w:sz w:val="20"/>
        </w:rPr>
      </w:pPr>
    </w:p>
    <w:p>
      <w:pPr>
        <w:pStyle w:val="BodyText"/>
        <w:rPr>
          <w:sz w:val="20"/>
        </w:rPr>
      </w:pPr>
    </w:p>
    <w:p>
      <w:pPr>
        <w:pStyle w:val="BodyText"/>
        <w:spacing w:before="6"/>
        <w:rPr>
          <w:sz w:val="10"/>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67"/>
        <w:gridCol w:w="4686"/>
      </w:tblGrid>
      <w:tr>
        <w:trPr>
          <w:trHeight w:val="520" w:hRule="atLeast"/>
        </w:trPr>
        <w:tc>
          <w:tcPr>
            <w:tcW w:w="4667" w:type="dxa"/>
            <w:shd w:val="clear" w:color="auto" w:fill="000000"/>
          </w:tcPr>
          <w:p>
            <w:pPr>
              <w:pStyle w:val="TableParagraph"/>
              <w:spacing w:before="7"/>
              <w:ind w:left="1880" w:right="1880"/>
              <w:rPr>
                <w:b/>
                <w:sz w:val="24"/>
              </w:rPr>
            </w:pPr>
            <w:bookmarkStart w:name="_bookmark47" w:id="48"/>
            <w:bookmarkEnd w:id="48"/>
            <w:r>
              <w:rPr/>
            </w:r>
            <w:r>
              <w:rPr>
                <w:b/>
                <w:color w:val="FFFFFF"/>
                <w:sz w:val="24"/>
              </w:rPr>
              <w:t>Finding</w:t>
            </w:r>
          </w:p>
        </w:tc>
        <w:tc>
          <w:tcPr>
            <w:tcW w:w="4686" w:type="dxa"/>
            <w:shd w:val="clear" w:color="auto" w:fill="000000"/>
          </w:tcPr>
          <w:p>
            <w:pPr>
              <w:pStyle w:val="TableParagraph"/>
              <w:spacing w:before="7"/>
              <w:ind w:left="1334"/>
              <w:jc w:val="left"/>
              <w:rPr>
                <w:b/>
                <w:sz w:val="24"/>
              </w:rPr>
            </w:pPr>
            <w:r>
              <w:rPr>
                <w:b/>
                <w:color w:val="FFFFFF"/>
                <w:sz w:val="24"/>
              </w:rPr>
              <w:t>Recommendation</w:t>
            </w:r>
          </w:p>
        </w:tc>
      </w:tr>
      <w:tr>
        <w:trPr>
          <w:trHeight w:val="3140" w:hRule="atLeast"/>
        </w:trPr>
        <w:tc>
          <w:tcPr>
            <w:tcW w:w="4667" w:type="dxa"/>
            <w:tcBorders>
              <w:left w:val="single" w:sz="4" w:space="0" w:color="000000"/>
              <w:bottom w:val="single" w:sz="4" w:space="0" w:color="000000"/>
              <w:right w:val="single" w:sz="4" w:space="0" w:color="000000"/>
            </w:tcBorders>
          </w:tcPr>
          <w:p>
            <w:pPr>
              <w:pStyle w:val="TableParagraph"/>
              <w:spacing w:line="276" w:lineRule="auto"/>
              <w:ind w:left="103" w:right="242"/>
              <w:jc w:val="left"/>
              <w:rPr>
                <w:sz w:val="24"/>
              </w:rPr>
            </w:pPr>
            <w:r>
              <w:rPr>
                <w:sz w:val="24"/>
              </w:rPr>
              <w:t>Questionable (excessive) distributions to shareholders occurred in 2014-2015 at one-third of for-profit charters.</w:t>
            </w:r>
          </w:p>
        </w:tc>
        <w:tc>
          <w:tcPr>
            <w:tcW w:w="4686" w:type="dxa"/>
            <w:tcBorders>
              <w:left w:val="single" w:sz="4" w:space="0" w:color="000000"/>
              <w:bottom w:val="single" w:sz="4" w:space="0" w:color="000000"/>
              <w:right w:val="single" w:sz="4" w:space="0" w:color="000000"/>
            </w:tcBorders>
          </w:tcPr>
          <w:p>
            <w:pPr>
              <w:pStyle w:val="TableParagraph"/>
              <w:spacing w:line="259" w:lineRule="auto"/>
              <w:ind w:left="102" w:right="96"/>
              <w:jc w:val="both"/>
              <w:rPr>
                <w:sz w:val="24"/>
              </w:rPr>
            </w:pPr>
            <w:r>
              <w:rPr>
                <w:sz w:val="24"/>
              </w:rPr>
              <w:t>The ASBCS should be monitoring and approving any distributions in excess of the charter’s net for the year. Documentation on where the funding for the distribution came from needs to be include in the audit information. Draws on Owner’s</w:t>
            </w:r>
            <w:r>
              <w:rPr>
                <w:spacing w:val="-8"/>
                <w:sz w:val="24"/>
              </w:rPr>
              <w:t> </w:t>
            </w:r>
            <w:r>
              <w:rPr>
                <w:sz w:val="24"/>
              </w:rPr>
              <w:t>Equity</w:t>
            </w:r>
            <w:r>
              <w:rPr>
                <w:spacing w:val="-10"/>
                <w:sz w:val="24"/>
              </w:rPr>
              <w:t> </w:t>
            </w:r>
            <w:r>
              <w:rPr>
                <w:sz w:val="24"/>
              </w:rPr>
              <w:t>for</w:t>
            </w:r>
            <w:r>
              <w:rPr>
                <w:spacing w:val="-9"/>
                <w:sz w:val="24"/>
              </w:rPr>
              <w:t> </w:t>
            </w:r>
            <w:r>
              <w:rPr>
                <w:sz w:val="24"/>
              </w:rPr>
              <w:t>distributions</w:t>
            </w:r>
            <w:r>
              <w:rPr>
                <w:spacing w:val="-10"/>
                <w:sz w:val="24"/>
              </w:rPr>
              <w:t> </w:t>
            </w:r>
            <w:r>
              <w:rPr>
                <w:sz w:val="24"/>
              </w:rPr>
              <w:t>need</w:t>
            </w:r>
            <w:r>
              <w:rPr>
                <w:spacing w:val="-9"/>
                <w:sz w:val="24"/>
              </w:rPr>
              <w:t> </w:t>
            </w:r>
            <w:r>
              <w:rPr>
                <w:sz w:val="24"/>
              </w:rPr>
              <w:t>to</w:t>
            </w:r>
            <w:r>
              <w:rPr>
                <w:spacing w:val="-11"/>
                <w:sz w:val="24"/>
              </w:rPr>
              <w:t> </w:t>
            </w:r>
            <w:r>
              <w:rPr>
                <w:sz w:val="24"/>
              </w:rPr>
              <w:t>be evaluated against the company’s fiscal position on the ASBCS Financial Performance</w:t>
            </w:r>
            <w:r>
              <w:rPr>
                <w:spacing w:val="-22"/>
                <w:sz w:val="24"/>
              </w:rPr>
              <w:t> </w:t>
            </w:r>
            <w:r>
              <w:rPr>
                <w:sz w:val="24"/>
              </w:rPr>
              <w:t>Recommendations.</w:t>
            </w:r>
          </w:p>
        </w:tc>
      </w:tr>
    </w:tbl>
    <w:p>
      <w:pPr>
        <w:pStyle w:val="BodyText"/>
        <w:rPr>
          <w:sz w:val="20"/>
        </w:rPr>
      </w:pPr>
    </w:p>
    <w:p>
      <w:pPr>
        <w:pStyle w:val="BodyText"/>
        <w:spacing w:before="10"/>
        <w:rPr>
          <w:sz w:val="16"/>
        </w:rPr>
      </w:pPr>
    </w:p>
    <w:p>
      <w:pPr>
        <w:pStyle w:val="BodyText"/>
        <w:spacing w:line="278" w:lineRule="auto" w:before="92"/>
        <w:ind w:left="220" w:right="116"/>
        <w:jc w:val="both"/>
      </w:pPr>
      <w:r>
        <w:rPr/>
        <w:t>Most charter organizations are nonprofits. They may have a “for-profit” related organization that they contract with, but the charter itself is a nonprofit.</w:t>
      </w:r>
    </w:p>
    <w:p>
      <w:pPr>
        <w:pStyle w:val="BodyText"/>
        <w:spacing w:line="276" w:lineRule="auto" w:before="199"/>
        <w:ind w:left="220" w:right="108"/>
        <w:jc w:val="both"/>
      </w:pPr>
      <w:r>
        <w:rPr/>
        <w:t>Twenty-five charter holders in Arizona are for-profit corporations. As a “for-profit”, they can make distributions to their shareholders. The data set created includes a full subset of</w:t>
      </w:r>
      <w:r>
        <w:rPr>
          <w:spacing w:val="-3"/>
        </w:rPr>
        <w:t> </w:t>
      </w:r>
      <w:r>
        <w:rPr/>
        <w:t>data</w:t>
      </w:r>
      <w:r>
        <w:rPr>
          <w:spacing w:val="-5"/>
        </w:rPr>
        <w:t> </w:t>
      </w:r>
      <w:r>
        <w:rPr/>
        <w:t>on</w:t>
      </w:r>
      <w:r>
        <w:rPr>
          <w:spacing w:val="-7"/>
        </w:rPr>
        <w:t> </w:t>
      </w:r>
      <w:r>
        <w:rPr/>
        <w:t>for</w:t>
      </w:r>
      <w:r>
        <w:rPr>
          <w:spacing w:val="-7"/>
        </w:rPr>
        <w:t> </w:t>
      </w:r>
      <w:r>
        <w:rPr/>
        <w:t>profit</w:t>
      </w:r>
      <w:r>
        <w:rPr>
          <w:spacing w:val="-6"/>
        </w:rPr>
        <w:t> </w:t>
      </w:r>
      <w:r>
        <w:rPr/>
        <w:t>companies</w:t>
      </w:r>
      <w:r>
        <w:rPr>
          <w:spacing w:val="-5"/>
        </w:rPr>
        <w:t> </w:t>
      </w:r>
      <w:r>
        <w:rPr/>
        <w:t>with</w:t>
      </w:r>
      <w:r>
        <w:rPr>
          <w:spacing w:val="-3"/>
        </w:rPr>
        <w:t> </w:t>
      </w:r>
      <w:r>
        <w:rPr/>
        <w:t>distributions</w:t>
      </w:r>
      <w:r>
        <w:rPr>
          <w:spacing w:val="-5"/>
        </w:rPr>
        <w:t> </w:t>
      </w:r>
      <w:r>
        <w:rPr/>
        <w:t>to</w:t>
      </w:r>
      <w:r>
        <w:rPr>
          <w:spacing w:val="-4"/>
        </w:rPr>
        <w:t> </w:t>
      </w:r>
      <w:r>
        <w:rPr/>
        <w:t>shareholders</w:t>
      </w:r>
      <w:r>
        <w:rPr>
          <w:spacing w:val="-3"/>
        </w:rPr>
        <w:t> </w:t>
      </w:r>
      <w:r>
        <w:rPr/>
        <w:t>revealed</w:t>
      </w:r>
      <w:r>
        <w:rPr>
          <w:spacing w:val="-2"/>
        </w:rPr>
        <w:t> </w:t>
      </w:r>
      <w:r>
        <w:rPr/>
        <w:t>through</w:t>
      </w:r>
      <w:r>
        <w:rPr>
          <w:spacing w:val="-5"/>
        </w:rPr>
        <w:t> </w:t>
      </w:r>
      <w:r>
        <w:rPr/>
        <w:t>audits that</w:t>
      </w:r>
      <w:r>
        <w:rPr>
          <w:spacing w:val="-15"/>
        </w:rPr>
        <w:t> </w:t>
      </w:r>
      <w:r>
        <w:rPr/>
        <w:t>are</w:t>
      </w:r>
      <w:r>
        <w:rPr>
          <w:spacing w:val="-18"/>
        </w:rPr>
        <w:t> </w:t>
      </w:r>
      <w:r>
        <w:rPr/>
        <w:t>posted</w:t>
      </w:r>
      <w:r>
        <w:rPr>
          <w:spacing w:val="-15"/>
        </w:rPr>
        <w:t> </w:t>
      </w:r>
      <w:r>
        <w:rPr/>
        <w:t>at</w:t>
      </w:r>
      <w:r>
        <w:rPr>
          <w:spacing w:val="-15"/>
        </w:rPr>
        <w:t> </w:t>
      </w:r>
      <w:r>
        <w:rPr/>
        <w:t>the</w:t>
      </w:r>
      <w:r>
        <w:rPr>
          <w:spacing w:val="-15"/>
        </w:rPr>
        <w:t> </w:t>
      </w:r>
      <w:r>
        <w:rPr/>
        <w:t>ASBCS</w:t>
      </w:r>
      <w:r>
        <w:rPr>
          <w:spacing w:val="-15"/>
        </w:rPr>
        <w:t> </w:t>
      </w:r>
      <w:r>
        <w:rPr/>
        <w:t>web</w:t>
      </w:r>
      <w:r>
        <w:rPr>
          <w:spacing w:val="-15"/>
        </w:rPr>
        <w:t> </w:t>
      </w:r>
      <w:r>
        <w:rPr/>
        <w:t>site.</w:t>
      </w:r>
      <w:r>
        <w:rPr>
          <w:spacing w:val="-15"/>
        </w:rPr>
        <w:t> </w:t>
      </w:r>
      <w:r>
        <w:rPr/>
        <w:t>There</w:t>
      </w:r>
      <w:r>
        <w:rPr>
          <w:spacing w:val="-18"/>
        </w:rPr>
        <w:t> </w:t>
      </w:r>
      <w:r>
        <w:rPr/>
        <w:t>are</w:t>
      </w:r>
      <w:r>
        <w:rPr>
          <w:spacing w:val="-15"/>
        </w:rPr>
        <w:t> </w:t>
      </w:r>
      <w:r>
        <w:rPr/>
        <w:t>currently</w:t>
      </w:r>
      <w:r>
        <w:rPr>
          <w:spacing w:val="-18"/>
        </w:rPr>
        <w:t> </w:t>
      </w:r>
      <w:r>
        <w:rPr/>
        <w:t>no</w:t>
      </w:r>
      <w:r>
        <w:rPr>
          <w:spacing w:val="-15"/>
        </w:rPr>
        <w:t> </w:t>
      </w:r>
      <w:r>
        <w:rPr/>
        <w:t>caps</w:t>
      </w:r>
      <w:r>
        <w:rPr>
          <w:spacing w:val="-15"/>
        </w:rPr>
        <w:t> </w:t>
      </w:r>
      <w:r>
        <w:rPr/>
        <w:t>on</w:t>
      </w:r>
      <w:r>
        <w:rPr>
          <w:spacing w:val="-15"/>
        </w:rPr>
        <w:t> </w:t>
      </w:r>
      <w:r>
        <w:rPr/>
        <w:t>these</w:t>
      </w:r>
      <w:r>
        <w:rPr>
          <w:spacing w:val="-17"/>
        </w:rPr>
        <w:t> </w:t>
      </w:r>
      <w:r>
        <w:rPr/>
        <w:t>distributions. There are no rules limiting distributions in for profit charters. The amounts are left to the “owners” of the company’s stock. Most charters listed 100 in their audit as the number of shares</w:t>
      </w:r>
      <w:r>
        <w:rPr>
          <w:spacing w:val="-22"/>
        </w:rPr>
        <w:t> </w:t>
      </w:r>
      <w:r>
        <w:rPr/>
        <w:t>outstanding.</w:t>
      </w:r>
    </w:p>
    <w:p>
      <w:pPr>
        <w:pStyle w:val="BodyText"/>
        <w:spacing w:line="276" w:lineRule="auto" w:before="202"/>
        <w:ind w:left="220" w:right="111"/>
        <w:jc w:val="both"/>
      </w:pPr>
      <w:r>
        <w:rPr/>
        <w:t>In normal business practice in a free market, shareholder or partner-owned businesses do not distribute dividends (distributions in charter parlance) on shares in losing years. The money then goes into retained earnings instead (or comes out of retained earnings in a bad year). An example of this prudent practice is the Benjamin Franklin Schools a charter with substantive stockholder equity.</w:t>
      </w:r>
    </w:p>
    <w:p>
      <w:pPr>
        <w:pStyle w:val="BodyText"/>
        <w:spacing w:line="276" w:lineRule="auto" w:before="202"/>
        <w:ind w:left="220" w:right="122"/>
        <w:jc w:val="both"/>
      </w:pPr>
      <w:r>
        <w:rPr/>
        <w:t>The recommendation to set the bar at distributing more than 10% of revenues to shareholders or if the distribution turns a net profit into a net loss is in line with the past 25</w:t>
      </w:r>
      <w:r>
        <w:rPr>
          <w:spacing w:val="-12"/>
        </w:rPr>
        <w:t> </w:t>
      </w:r>
      <w:r>
        <w:rPr/>
        <w:t>years</w:t>
      </w:r>
      <w:r>
        <w:rPr>
          <w:spacing w:val="-13"/>
        </w:rPr>
        <w:t> </w:t>
      </w:r>
      <w:r>
        <w:rPr/>
        <w:t>of</w:t>
      </w:r>
      <w:r>
        <w:rPr>
          <w:spacing w:val="-10"/>
        </w:rPr>
        <w:t> </w:t>
      </w:r>
      <w:r>
        <w:rPr/>
        <w:t>the</w:t>
      </w:r>
      <w:r>
        <w:rPr>
          <w:spacing w:val="-12"/>
        </w:rPr>
        <w:t> </w:t>
      </w:r>
      <w:r>
        <w:rPr/>
        <w:t>Standard</w:t>
      </w:r>
      <w:r>
        <w:rPr>
          <w:spacing w:val="-12"/>
        </w:rPr>
        <w:t> </w:t>
      </w:r>
      <w:r>
        <w:rPr/>
        <w:t>&amp;</w:t>
      </w:r>
      <w:r>
        <w:rPr>
          <w:spacing w:val="-12"/>
        </w:rPr>
        <w:t> </w:t>
      </w:r>
      <w:r>
        <w:rPr/>
        <w:t>Poor</w:t>
      </w:r>
      <w:r>
        <w:rPr>
          <w:spacing w:val="-13"/>
        </w:rPr>
        <w:t> </w:t>
      </w:r>
      <w:r>
        <w:rPr/>
        <w:t>500,</w:t>
      </w:r>
      <w:r>
        <w:rPr>
          <w:spacing w:val="-12"/>
        </w:rPr>
        <w:t> </w:t>
      </w:r>
      <w:r>
        <w:rPr/>
        <w:t>whose</w:t>
      </w:r>
      <w:r>
        <w:rPr>
          <w:spacing w:val="-14"/>
        </w:rPr>
        <w:t> </w:t>
      </w:r>
      <w:r>
        <w:rPr/>
        <w:t>average</w:t>
      </w:r>
      <w:r>
        <w:rPr>
          <w:spacing w:val="-12"/>
        </w:rPr>
        <w:t> </w:t>
      </w:r>
      <w:r>
        <w:rPr/>
        <w:t>net</w:t>
      </w:r>
      <w:r>
        <w:rPr>
          <w:spacing w:val="-12"/>
        </w:rPr>
        <w:t> </w:t>
      </w:r>
      <w:r>
        <w:rPr/>
        <w:t>profit</w:t>
      </w:r>
      <w:r>
        <w:rPr>
          <w:spacing w:val="-15"/>
        </w:rPr>
        <w:t> </w:t>
      </w:r>
      <w:r>
        <w:rPr/>
        <w:t>has</w:t>
      </w:r>
      <w:r>
        <w:rPr>
          <w:spacing w:val="-15"/>
        </w:rPr>
        <w:t> </w:t>
      </w:r>
      <w:r>
        <w:rPr/>
        <w:t>never</w:t>
      </w:r>
      <w:r>
        <w:rPr>
          <w:spacing w:val="-13"/>
        </w:rPr>
        <w:t> </w:t>
      </w:r>
      <w:r>
        <w:rPr/>
        <w:t>exceeded</w:t>
      </w:r>
      <w:r>
        <w:rPr>
          <w:spacing w:val="-12"/>
        </w:rPr>
        <w:t> </w:t>
      </w:r>
      <w:r>
        <w:rPr/>
        <w:t>10%, much less the portion distributed to shareholders which should be even</w:t>
      </w:r>
      <w:r>
        <w:rPr>
          <w:spacing w:val="-33"/>
        </w:rPr>
        <w:t> </w:t>
      </w:r>
      <w:r>
        <w:rPr/>
        <w:t>less.</w:t>
      </w:r>
    </w:p>
    <w:p>
      <w:pPr>
        <w:spacing w:after="0" w:line="276" w:lineRule="auto"/>
        <w:jc w:val="both"/>
        <w:sectPr>
          <w:pgSz w:w="12240" w:h="15840"/>
          <w:pgMar w:header="740" w:footer="1002" w:top="940" w:bottom="1200" w:left="1220" w:right="1320"/>
        </w:sectPr>
      </w:pPr>
    </w:p>
    <w:p>
      <w:pPr>
        <w:pStyle w:val="BodyText"/>
        <w:rPr>
          <w:sz w:val="20"/>
        </w:rPr>
      </w:pPr>
    </w:p>
    <w:p>
      <w:pPr>
        <w:pStyle w:val="BodyText"/>
        <w:spacing w:before="2"/>
        <w:rPr>
          <w:sz w:val="21"/>
        </w:rPr>
      </w:pPr>
    </w:p>
    <w:p>
      <w:pPr>
        <w:spacing w:before="0"/>
        <w:ind w:left="120" w:right="0" w:firstLine="0"/>
        <w:jc w:val="both"/>
        <w:rPr>
          <w:b/>
          <w:sz w:val="22"/>
        </w:rPr>
      </w:pPr>
      <w:r>
        <w:rPr/>
        <w:drawing>
          <wp:anchor distT="0" distB="0" distL="0" distR="0" allowOverlap="1" layoutInCell="1" locked="0" behindDoc="0" simplePos="0" relativeHeight="1816">
            <wp:simplePos x="0" y="0"/>
            <wp:positionH relativeFrom="page">
              <wp:posOffset>914400</wp:posOffset>
            </wp:positionH>
            <wp:positionV relativeFrom="paragraph">
              <wp:posOffset>190726</wp:posOffset>
            </wp:positionV>
            <wp:extent cx="5934051" cy="3263741"/>
            <wp:effectExtent l="0" t="0" r="0" b="0"/>
            <wp:wrapTopAndBottom/>
            <wp:docPr id="33" name="image19.jpeg" descr=""/>
            <wp:cNvGraphicFramePr>
              <a:graphicFrameLocks noChangeAspect="1"/>
            </wp:cNvGraphicFramePr>
            <a:graphic>
              <a:graphicData uri="http://schemas.openxmlformats.org/drawingml/2006/picture">
                <pic:pic>
                  <pic:nvPicPr>
                    <pic:cNvPr id="34" name="image19.jpeg"/>
                    <pic:cNvPicPr/>
                  </pic:nvPicPr>
                  <pic:blipFill>
                    <a:blip r:embed="rId40" cstate="print"/>
                    <a:stretch>
                      <a:fillRect/>
                    </a:stretch>
                  </pic:blipFill>
                  <pic:spPr>
                    <a:xfrm>
                      <a:off x="0" y="0"/>
                      <a:ext cx="5934051" cy="3263741"/>
                    </a:xfrm>
                    <a:prstGeom prst="rect">
                      <a:avLst/>
                    </a:prstGeom>
                  </pic:spPr>
                </pic:pic>
              </a:graphicData>
            </a:graphic>
          </wp:anchor>
        </w:drawing>
      </w:r>
      <w:bookmarkStart w:name="_bookmark48" w:id="49"/>
      <w:bookmarkEnd w:id="49"/>
      <w:r>
        <w:rPr/>
      </w:r>
      <w:r>
        <w:rPr>
          <w:b/>
          <w:color w:val="4F81BC"/>
          <w:sz w:val="22"/>
        </w:rPr>
        <w:t>Figure 3: S&amp;P Net Profits 1992-2017</w:t>
      </w:r>
    </w:p>
    <w:p>
      <w:pPr>
        <w:spacing w:line="276" w:lineRule="auto" w:before="201"/>
        <w:ind w:left="120" w:right="108" w:firstLine="0"/>
        <w:jc w:val="both"/>
        <w:rPr>
          <w:sz w:val="22"/>
        </w:rPr>
      </w:pPr>
      <w:r>
        <w:rPr>
          <w:sz w:val="24"/>
        </w:rPr>
        <w:t>Table 5 illustrates distributions taken by eight for-profit charters in 2014-2015. Pinnacle Education,</w:t>
      </w:r>
      <w:r>
        <w:rPr>
          <w:spacing w:val="-6"/>
          <w:sz w:val="24"/>
        </w:rPr>
        <w:t> </w:t>
      </w:r>
      <w:r>
        <w:rPr>
          <w:sz w:val="24"/>
        </w:rPr>
        <w:t>an</w:t>
      </w:r>
      <w:r>
        <w:rPr>
          <w:spacing w:val="-4"/>
          <w:sz w:val="24"/>
        </w:rPr>
        <w:t> </w:t>
      </w:r>
      <w:r>
        <w:rPr>
          <w:sz w:val="24"/>
        </w:rPr>
        <w:t>online</w:t>
      </w:r>
      <w:r>
        <w:rPr>
          <w:spacing w:val="-4"/>
          <w:sz w:val="24"/>
        </w:rPr>
        <w:t> </w:t>
      </w:r>
      <w:r>
        <w:rPr>
          <w:sz w:val="24"/>
        </w:rPr>
        <w:t>charter,</w:t>
      </w:r>
      <w:r>
        <w:rPr>
          <w:spacing w:val="-7"/>
          <w:sz w:val="24"/>
        </w:rPr>
        <w:t> </w:t>
      </w:r>
      <w:r>
        <w:rPr>
          <w:sz w:val="24"/>
        </w:rPr>
        <w:t>distributed</w:t>
      </w:r>
      <w:r>
        <w:rPr>
          <w:spacing w:val="-6"/>
          <w:sz w:val="24"/>
        </w:rPr>
        <w:t> </w:t>
      </w:r>
      <w:r>
        <w:rPr>
          <w:sz w:val="24"/>
        </w:rPr>
        <w:t>nearly</w:t>
      </w:r>
      <w:r>
        <w:rPr>
          <w:spacing w:val="-7"/>
          <w:sz w:val="24"/>
        </w:rPr>
        <w:t> </w:t>
      </w:r>
      <w:r>
        <w:rPr>
          <w:sz w:val="24"/>
        </w:rPr>
        <w:t>half</w:t>
      </w:r>
      <w:r>
        <w:rPr>
          <w:spacing w:val="-5"/>
          <w:sz w:val="24"/>
        </w:rPr>
        <w:t> </w:t>
      </w:r>
      <w:r>
        <w:rPr>
          <w:sz w:val="24"/>
        </w:rPr>
        <w:t>of</w:t>
      </w:r>
      <w:r>
        <w:rPr>
          <w:spacing w:val="-2"/>
          <w:sz w:val="24"/>
        </w:rPr>
        <w:t> </w:t>
      </w:r>
      <w:r>
        <w:rPr>
          <w:sz w:val="24"/>
        </w:rPr>
        <w:t>its</w:t>
      </w:r>
      <w:r>
        <w:rPr>
          <w:spacing w:val="-7"/>
          <w:sz w:val="24"/>
        </w:rPr>
        <w:t> </w:t>
      </w:r>
      <w:r>
        <w:rPr>
          <w:sz w:val="24"/>
        </w:rPr>
        <w:t>incoming</w:t>
      </w:r>
      <w:r>
        <w:rPr>
          <w:spacing w:val="-5"/>
          <w:sz w:val="24"/>
        </w:rPr>
        <w:t> </w:t>
      </w:r>
      <w:r>
        <w:rPr>
          <w:sz w:val="24"/>
        </w:rPr>
        <w:t>revenue</w:t>
      </w:r>
      <w:r>
        <w:rPr>
          <w:spacing w:val="-4"/>
          <w:sz w:val="24"/>
        </w:rPr>
        <w:t> </w:t>
      </w:r>
      <w:r>
        <w:rPr>
          <w:sz w:val="24"/>
        </w:rPr>
        <w:t>in</w:t>
      </w:r>
      <w:r>
        <w:rPr>
          <w:spacing w:val="-6"/>
          <w:sz w:val="24"/>
        </w:rPr>
        <w:t> </w:t>
      </w:r>
      <w:r>
        <w:rPr>
          <w:sz w:val="24"/>
        </w:rPr>
        <w:t>the</w:t>
      </w:r>
      <w:r>
        <w:rPr>
          <w:spacing w:val="-6"/>
          <w:sz w:val="24"/>
        </w:rPr>
        <w:t> </w:t>
      </w:r>
      <w:r>
        <w:rPr>
          <w:sz w:val="24"/>
        </w:rPr>
        <w:t>form</w:t>
      </w:r>
      <w:r>
        <w:rPr>
          <w:spacing w:val="-8"/>
          <w:sz w:val="24"/>
        </w:rPr>
        <w:t> </w:t>
      </w:r>
      <w:r>
        <w:rPr>
          <w:sz w:val="24"/>
        </w:rPr>
        <w:t>of distributions in 2014-2015. This was at its Tempe location. </w:t>
      </w:r>
      <w:r>
        <w:rPr>
          <w:sz w:val="22"/>
        </w:rPr>
        <w:t>Pinnacle received $5,158 per ADM that year; taking 45% as a distribution to shareholders means that $2,148.50 per ADM was taken in</w:t>
      </w:r>
      <w:r>
        <w:rPr>
          <w:spacing w:val="-20"/>
          <w:sz w:val="22"/>
        </w:rPr>
        <w:t> </w:t>
      </w:r>
      <w:r>
        <w:rPr>
          <w:sz w:val="22"/>
        </w:rPr>
        <w:t>distributions.</w:t>
      </w:r>
    </w:p>
    <w:p>
      <w:pPr>
        <w:pStyle w:val="BodyText"/>
        <w:spacing w:line="276" w:lineRule="auto" w:before="200"/>
        <w:ind w:left="120" w:right="120"/>
        <w:jc w:val="both"/>
      </w:pPr>
      <w:r>
        <w:rPr/>
        <w:t>Prudent business practices include maintaining some level of retained earnings to cover fluctuations in future income or expenditures and for future investment, including items that will need to be replaced.</w:t>
      </w:r>
    </w:p>
    <w:p>
      <w:pPr>
        <w:pStyle w:val="BodyText"/>
        <w:spacing w:line="276" w:lineRule="auto" w:before="200"/>
        <w:ind w:left="120" w:right="113"/>
        <w:jc w:val="both"/>
      </w:pPr>
      <w:r>
        <w:rPr/>
        <w:t>None of the charter operators in Table 5 appear to have engaged in such practices in 2014-2015. Collectively at the three Pinnacle locations, Pinnacle (AKA Pinnacle WMAA Inc.) paid out more than the difference between their revenues and expenses.</w:t>
      </w:r>
    </w:p>
    <w:p>
      <w:pPr>
        <w:pStyle w:val="BodyText"/>
        <w:spacing w:line="273" w:lineRule="auto" w:before="192"/>
        <w:ind w:left="120" w:right="112"/>
        <w:jc w:val="both"/>
      </w:pPr>
      <w:r>
        <w:rPr/>
        <w:t>Pinnacle is held by multiple owners (shareholders). The Charter Group </w:t>
      </w:r>
      <w:r>
        <w:rPr>
          <w:i/>
        </w:rPr>
        <w:t>listed 10 </w:t>
      </w:r>
      <w:r>
        <w:rPr>
          <w:i/>
        </w:rPr>
        <w:t>companies</w:t>
      </w:r>
      <w:hyperlink w:history="true" w:anchor="_bookmark49">
        <w:r>
          <w:rPr>
            <w:position w:val="8"/>
            <w:sz w:val="16"/>
          </w:rPr>
          <w:t>19 </w:t>
        </w:r>
      </w:hyperlink>
      <w:r>
        <w:rPr/>
        <w:t>as related-parties in their audit statements.</w:t>
      </w:r>
    </w:p>
    <w:p>
      <w:pPr>
        <w:pStyle w:val="BodyText"/>
        <w:spacing w:line="276" w:lineRule="auto" w:before="206"/>
        <w:ind w:left="120" w:right="113"/>
        <w:jc w:val="both"/>
      </w:pPr>
      <w:r>
        <w:rPr/>
        <w:t>American Basic Schools, LLC and the Consolidated Report for Rose Academies pulled out three to six times as much in distributions to shareholder(s) as their actual net gain, meaning they pulled out far more in distributions than they actually had in net profit. The columns are color coded, yellow represents what appears to be excessive distributions</w:t>
      </w:r>
    </w:p>
    <w:p>
      <w:pPr>
        <w:pStyle w:val="BodyText"/>
        <w:spacing w:before="9"/>
        <w:rPr>
          <w:sz w:val="20"/>
        </w:rPr>
      </w:pPr>
      <w:r>
        <w:rPr/>
        <w:pict>
          <v:line style="position:absolute;mso-position-horizontal-relative:page;mso-position-vertical-relative:paragraph;z-index:1840;mso-wrap-distance-left:0;mso-wrap-distance-right:0" from="72pt,14.307923pt" to="216pt,14.307923pt" stroked="true" strokeweight=".72pt" strokecolor="#000000">
            <v:stroke dashstyle="solid"/>
            <w10:wrap type="topAndBottom"/>
          </v:line>
        </w:pict>
      </w:r>
    </w:p>
    <w:p>
      <w:pPr>
        <w:spacing w:before="55"/>
        <w:ind w:left="120" w:right="0" w:firstLine="0"/>
        <w:jc w:val="left"/>
        <w:rPr>
          <w:rFonts w:ascii="Calibri"/>
          <w:sz w:val="20"/>
        </w:rPr>
      </w:pPr>
      <w:bookmarkStart w:name="_bookmark49" w:id="50"/>
      <w:bookmarkEnd w:id="50"/>
      <w:r>
        <w:rPr/>
      </w:r>
      <w:r>
        <w:rPr>
          <w:rFonts w:ascii="Calibri"/>
          <w:position w:val="7"/>
          <w:sz w:val="13"/>
        </w:rPr>
        <w:t>19 </w:t>
      </w:r>
      <w:r>
        <w:rPr>
          <w:rFonts w:ascii="Calibri"/>
          <w:sz w:val="20"/>
        </w:rPr>
        <w:t>MBRM Pinnacle Inc., (MGRM) Pinnacle Education Tempe Inc., (PBTP) Pinnacle Education Mesa Inc., (PNMS) Pinnacle Education WMCG Inc., Pinnacle Education Kino Inc. (PNKA), Matwick Family Holdings LLC, MRM Global Education MGRM Holdings Inc., MGRM Technologies, LLC MBRM Net Limited MGRM Medicare Limited.</w:t>
      </w:r>
    </w:p>
    <w:p>
      <w:pPr>
        <w:spacing w:after="0"/>
        <w:jc w:val="left"/>
        <w:rPr>
          <w:rFonts w:ascii="Calibri"/>
          <w:sz w:val="20"/>
        </w:rPr>
        <w:sectPr>
          <w:pgSz w:w="12240" w:h="15840"/>
          <w:pgMar w:header="740" w:footer="1002" w:top="940" w:bottom="1200" w:left="1320" w:right="1320"/>
        </w:sectPr>
      </w:pPr>
    </w:p>
    <w:p>
      <w:pPr>
        <w:pStyle w:val="BodyText"/>
        <w:rPr>
          <w:rFonts w:ascii="Calibri"/>
          <w:sz w:val="20"/>
        </w:rPr>
      </w:pPr>
    </w:p>
    <w:p>
      <w:pPr>
        <w:pStyle w:val="BodyText"/>
        <w:spacing w:before="5"/>
        <w:rPr>
          <w:rFonts w:ascii="Calibri"/>
          <w:sz w:val="19"/>
        </w:rPr>
      </w:pPr>
    </w:p>
    <w:p>
      <w:pPr>
        <w:pStyle w:val="BodyText"/>
        <w:spacing w:line="276" w:lineRule="auto"/>
        <w:ind w:left="100" w:right="114"/>
        <w:jc w:val="both"/>
      </w:pPr>
      <w:r>
        <w:rPr/>
        <w:t>based</w:t>
      </w:r>
      <w:r>
        <w:rPr>
          <w:spacing w:val="-6"/>
        </w:rPr>
        <w:t> </w:t>
      </w:r>
      <w:r>
        <w:rPr/>
        <w:t>on</w:t>
      </w:r>
      <w:r>
        <w:rPr>
          <w:spacing w:val="-8"/>
        </w:rPr>
        <w:t> </w:t>
      </w:r>
      <w:r>
        <w:rPr/>
        <w:t>earnings</w:t>
      </w:r>
      <w:r>
        <w:rPr>
          <w:spacing w:val="-7"/>
        </w:rPr>
        <w:t> </w:t>
      </w:r>
      <w:r>
        <w:rPr/>
        <w:t>and</w:t>
      </w:r>
      <w:r>
        <w:rPr>
          <w:spacing w:val="-8"/>
        </w:rPr>
        <w:t> </w:t>
      </w:r>
      <w:r>
        <w:rPr/>
        <w:t>orange</w:t>
      </w:r>
      <w:r>
        <w:rPr>
          <w:spacing w:val="-6"/>
        </w:rPr>
        <w:t> </w:t>
      </w:r>
      <w:r>
        <w:rPr/>
        <w:t>represents</w:t>
      </w:r>
      <w:r>
        <w:rPr>
          <w:spacing w:val="-9"/>
        </w:rPr>
        <w:t> </w:t>
      </w:r>
      <w:r>
        <w:rPr/>
        <w:t>distributions</w:t>
      </w:r>
      <w:r>
        <w:rPr>
          <w:spacing w:val="-7"/>
        </w:rPr>
        <w:t> </w:t>
      </w:r>
      <w:r>
        <w:rPr/>
        <w:t>in</w:t>
      </w:r>
      <w:r>
        <w:rPr>
          <w:spacing w:val="-9"/>
        </w:rPr>
        <w:t> </w:t>
      </w:r>
      <w:r>
        <w:rPr/>
        <w:t>excess</w:t>
      </w:r>
      <w:r>
        <w:rPr>
          <w:spacing w:val="-7"/>
        </w:rPr>
        <w:t> </w:t>
      </w:r>
      <w:r>
        <w:rPr/>
        <w:t>of</w:t>
      </w:r>
      <w:r>
        <w:rPr>
          <w:spacing w:val="-4"/>
        </w:rPr>
        <w:t> </w:t>
      </w:r>
      <w:r>
        <w:rPr/>
        <w:t>100%</w:t>
      </w:r>
      <w:r>
        <w:rPr>
          <w:spacing w:val="-7"/>
        </w:rPr>
        <w:t> </w:t>
      </w:r>
      <w:r>
        <w:rPr/>
        <w:t>of</w:t>
      </w:r>
      <w:r>
        <w:rPr>
          <w:spacing w:val="-6"/>
        </w:rPr>
        <w:t> </w:t>
      </w:r>
      <w:r>
        <w:rPr/>
        <w:t>the</w:t>
      </w:r>
      <w:r>
        <w:rPr>
          <w:spacing w:val="-8"/>
        </w:rPr>
        <w:t> </w:t>
      </w:r>
      <w:r>
        <w:rPr/>
        <w:t>charters net.</w:t>
      </w:r>
    </w:p>
    <w:p>
      <w:pPr>
        <w:pStyle w:val="BodyText"/>
        <w:spacing w:line="276" w:lineRule="auto" w:before="201"/>
        <w:ind w:left="100" w:right="118"/>
        <w:jc w:val="both"/>
      </w:pPr>
      <w:r>
        <w:rPr/>
        <w:t>The presentation of these charters as examples is based on their distribution practices for</w:t>
      </w:r>
      <w:r>
        <w:rPr>
          <w:spacing w:val="-20"/>
        </w:rPr>
        <w:t> </w:t>
      </w:r>
      <w:r>
        <w:rPr/>
        <w:t>fiscal</w:t>
      </w:r>
      <w:r>
        <w:rPr>
          <w:spacing w:val="-20"/>
        </w:rPr>
        <w:t> </w:t>
      </w:r>
      <w:r>
        <w:rPr/>
        <w:t>2014-2015.</w:t>
      </w:r>
      <w:r>
        <w:rPr>
          <w:spacing w:val="-19"/>
        </w:rPr>
        <w:t> </w:t>
      </w:r>
      <w:r>
        <w:rPr/>
        <w:t>Practices</w:t>
      </w:r>
      <w:r>
        <w:rPr>
          <w:spacing w:val="-20"/>
        </w:rPr>
        <w:t> </w:t>
      </w:r>
      <w:r>
        <w:rPr/>
        <w:t>that</w:t>
      </w:r>
      <w:r>
        <w:rPr>
          <w:spacing w:val="-19"/>
        </w:rPr>
        <w:t> </w:t>
      </w:r>
      <w:r>
        <w:rPr/>
        <w:t>exceed</w:t>
      </w:r>
      <w:r>
        <w:rPr>
          <w:spacing w:val="-19"/>
        </w:rPr>
        <w:t> </w:t>
      </w:r>
      <w:r>
        <w:rPr/>
        <w:t>the</w:t>
      </w:r>
      <w:r>
        <w:rPr>
          <w:spacing w:val="-20"/>
        </w:rPr>
        <w:t> </w:t>
      </w:r>
      <w:r>
        <w:rPr/>
        <w:t>recommendations</w:t>
      </w:r>
      <w:r>
        <w:rPr>
          <w:spacing w:val="-20"/>
        </w:rPr>
        <w:t> </w:t>
      </w:r>
      <w:r>
        <w:rPr/>
        <w:t>are</w:t>
      </w:r>
      <w:r>
        <w:rPr>
          <w:spacing w:val="-21"/>
        </w:rPr>
        <w:t> </w:t>
      </w:r>
      <w:r>
        <w:rPr/>
        <w:t>highlighted</w:t>
      </w:r>
      <w:r>
        <w:rPr>
          <w:spacing w:val="-19"/>
        </w:rPr>
        <w:t> </w:t>
      </w:r>
      <w:r>
        <w:rPr/>
        <w:t>in</w:t>
      </w:r>
      <w:r>
        <w:rPr>
          <w:spacing w:val="-19"/>
        </w:rPr>
        <w:t> </w:t>
      </w:r>
      <w:r>
        <w:rPr/>
        <w:t>yellow in Table</w:t>
      </w:r>
      <w:r>
        <w:rPr>
          <w:spacing w:val="-3"/>
        </w:rPr>
        <w:t> </w:t>
      </w:r>
      <w:r>
        <w:rPr/>
        <w:t>5.</w:t>
      </w:r>
    </w:p>
    <w:p>
      <w:pPr>
        <w:pStyle w:val="BodyText"/>
        <w:rPr>
          <w:sz w:val="26"/>
        </w:rPr>
      </w:pPr>
    </w:p>
    <w:p>
      <w:pPr>
        <w:pStyle w:val="BodyText"/>
        <w:spacing w:before="10"/>
        <w:rPr>
          <w:sz w:val="35"/>
        </w:rPr>
      </w:pPr>
    </w:p>
    <w:p>
      <w:pPr>
        <w:spacing w:before="0" w:after="49"/>
        <w:ind w:left="100" w:right="0" w:firstLine="0"/>
        <w:jc w:val="both"/>
        <w:rPr>
          <w:b/>
          <w:sz w:val="22"/>
        </w:rPr>
      </w:pPr>
      <w:bookmarkStart w:name="_bookmark50" w:id="51"/>
      <w:bookmarkEnd w:id="51"/>
      <w:r>
        <w:rPr/>
      </w:r>
      <w:r>
        <w:rPr>
          <w:color w:val="4F81BC"/>
          <w:sz w:val="22"/>
        </w:rPr>
        <w:t>Table 5:  Excessive </w:t>
      </w:r>
      <w:r>
        <w:rPr>
          <w:b/>
          <w:color w:val="4F81BC"/>
          <w:sz w:val="22"/>
        </w:rPr>
        <w:t>Distributions of 8 for-profit charters in Arizona in 2014-2015</w:t>
      </w:r>
    </w:p>
    <w:tbl>
      <w:tblPr>
        <w:tblW w:w="0" w:type="auto"/>
        <w:jc w:val="left"/>
        <w:tblInd w:w="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85"/>
        <w:gridCol w:w="1172"/>
        <w:gridCol w:w="1171"/>
        <w:gridCol w:w="1260"/>
        <w:gridCol w:w="1078"/>
        <w:gridCol w:w="1082"/>
        <w:gridCol w:w="1081"/>
      </w:tblGrid>
      <w:tr>
        <w:trPr>
          <w:trHeight w:val="1740" w:hRule="atLeast"/>
        </w:trPr>
        <w:tc>
          <w:tcPr>
            <w:tcW w:w="1685" w:type="dxa"/>
          </w:tcPr>
          <w:p>
            <w:pPr>
              <w:pStyle w:val="TableParagraph"/>
              <w:jc w:val="left"/>
              <w:rPr>
                <w:b/>
                <w:sz w:val="20"/>
              </w:rPr>
            </w:pPr>
          </w:p>
          <w:p>
            <w:pPr>
              <w:pStyle w:val="TableParagraph"/>
              <w:spacing w:before="180"/>
              <w:ind w:left="136" w:right="133" w:hanging="2"/>
              <w:rPr>
                <w:b/>
                <w:sz w:val="18"/>
              </w:rPr>
            </w:pPr>
            <w:r>
              <w:rPr>
                <w:b/>
                <w:sz w:val="18"/>
              </w:rPr>
              <w:t>Charter Holder Corporate Name</w:t>
            </w:r>
          </w:p>
          <w:p>
            <w:pPr>
              <w:pStyle w:val="TableParagraph"/>
              <w:spacing w:before="5"/>
              <w:jc w:val="left"/>
              <w:rPr>
                <w:b/>
                <w:sz w:val="17"/>
              </w:rPr>
            </w:pPr>
          </w:p>
          <w:p>
            <w:pPr>
              <w:pStyle w:val="TableParagraph"/>
              <w:ind w:left="392" w:right="392"/>
              <w:rPr>
                <w:b/>
                <w:sz w:val="18"/>
              </w:rPr>
            </w:pPr>
            <w:r>
              <w:rPr>
                <w:b/>
                <w:sz w:val="18"/>
              </w:rPr>
              <w:t>Column A</w:t>
            </w:r>
          </w:p>
        </w:tc>
        <w:tc>
          <w:tcPr>
            <w:tcW w:w="1172" w:type="dxa"/>
          </w:tcPr>
          <w:p>
            <w:pPr>
              <w:pStyle w:val="TableParagraph"/>
              <w:jc w:val="left"/>
              <w:rPr>
                <w:b/>
                <w:sz w:val="20"/>
              </w:rPr>
            </w:pPr>
          </w:p>
          <w:p>
            <w:pPr>
              <w:pStyle w:val="TableParagraph"/>
              <w:jc w:val="left"/>
              <w:rPr>
                <w:b/>
                <w:sz w:val="20"/>
              </w:rPr>
            </w:pPr>
          </w:p>
          <w:p>
            <w:pPr>
              <w:pStyle w:val="TableParagraph"/>
              <w:spacing w:before="127"/>
              <w:ind w:left="100" w:right="100"/>
              <w:rPr>
                <w:b/>
                <w:sz w:val="18"/>
              </w:rPr>
            </w:pPr>
            <w:r>
              <w:rPr>
                <w:b/>
                <w:sz w:val="18"/>
              </w:rPr>
              <w:t>Revenue</w:t>
            </w:r>
          </w:p>
          <w:p>
            <w:pPr>
              <w:pStyle w:val="TableParagraph"/>
              <w:spacing w:before="2"/>
              <w:jc w:val="left"/>
              <w:rPr>
                <w:b/>
                <w:sz w:val="17"/>
              </w:rPr>
            </w:pPr>
          </w:p>
          <w:p>
            <w:pPr>
              <w:pStyle w:val="TableParagraph"/>
              <w:ind w:left="263" w:right="262"/>
              <w:rPr>
                <w:b/>
                <w:sz w:val="18"/>
              </w:rPr>
            </w:pPr>
            <w:r>
              <w:rPr>
                <w:b/>
                <w:w w:val="90"/>
                <w:sz w:val="18"/>
              </w:rPr>
              <w:t>Column </w:t>
            </w:r>
            <w:r>
              <w:rPr>
                <w:b/>
                <w:sz w:val="18"/>
              </w:rPr>
              <w:t>B</w:t>
            </w:r>
          </w:p>
        </w:tc>
        <w:tc>
          <w:tcPr>
            <w:tcW w:w="1171" w:type="dxa"/>
          </w:tcPr>
          <w:p>
            <w:pPr>
              <w:pStyle w:val="TableParagraph"/>
              <w:jc w:val="left"/>
              <w:rPr>
                <w:b/>
                <w:sz w:val="20"/>
              </w:rPr>
            </w:pPr>
          </w:p>
          <w:p>
            <w:pPr>
              <w:pStyle w:val="TableParagraph"/>
              <w:spacing w:line="400" w:lineRule="atLeast" w:before="164"/>
              <w:ind w:left="101" w:right="102"/>
              <w:rPr>
                <w:b/>
                <w:sz w:val="18"/>
              </w:rPr>
            </w:pPr>
            <w:r>
              <w:rPr>
                <w:b/>
                <w:sz w:val="18"/>
              </w:rPr>
              <w:t>Expenses Column</w:t>
            </w:r>
          </w:p>
          <w:p>
            <w:pPr>
              <w:pStyle w:val="TableParagraph"/>
              <w:spacing w:line="206" w:lineRule="exact"/>
              <w:rPr>
                <w:b/>
                <w:sz w:val="18"/>
              </w:rPr>
            </w:pPr>
            <w:r>
              <w:rPr>
                <w:b/>
                <w:w w:val="99"/>
                <w:sz w:val="18"/>
              </w:rPr>
              <w:t>C</w:t>
            </w:r>
          </w:p>
        </w:tc>
        <w:tc>
          <w:tcPr>
            <w:tcW w:w="1260" w:type="dxa"/>
          </w:tcPr>
          <w:p>
            <w:pPr>
              <w:pStyle w:val="TableParagraph"/>
              <w:spacing w:before="5"/>
              <w:jc w:val="left"/>
              <w:rPr>
                <w:b/>
                <w:sz w:val="17"/>
              </w:rPr>
            </w:pPr>
          </w:p>
          <w:p>
            <w:pPr>
              <w:pStyle w:val="TableParagraph"/>
              <w:ind w:left="115" w:right="121"/>
              <w:rPr>
                <w:b/>
                <w:sz w:val="18"/>
              </w:rPr>
            </w:pPr>
            <w:r>
              <w:rPr>
                <w:b/>
                <w:sz w:val="18"/>
              </w:rPr>
              <w:t>Distribution (Paid Out </w:t>
            </w:r>
            <w:r>
              <w:rPr>
                <w:b/>
                <w:w w:val="95"/>
                <w:sz w:val="18"/>
              </w:rPr>
              <w:t>Dividends)</w:t>
            </w:r>
          </w:p>
          <w:p>
            <w:pPr>
              <w:pStyle w:val="TableParagraph"/>
              <w:spacing w:before="7"/>
              <w:jc w:val="left"/>
              <w:rPr>
                <w:b/>
                <w:sz w:val="18"/>
              </w:rPr>
            </w:pPr>
          </w:p>
          <w:p>
            <w:pPr>
              <w:pStyle w:val="TableParagraph"/>
              <w:ind w:left="115" w:right="118"/>
              <w:rPr>
                <w:b/>
                <w:sz w:val="18"/>
              </w:rPr>
            </w:pPr>
            <w:r>
              <w:rPr>
                <w:b/>
                <w:sz w:val="18"/>
              </w:rPr>
              <w:t>Column D</w:t>
            </w:r>
          </w:p>
        </w:tc>
        <w:tc>
          <w:tcPr>
            <w:tcW w:w="1078" w:type="dxa"/>
          </w:tcPr>
          <w:p>
            <w:pPr>
              <w:pStyle w:val="TableParagraph"/>
              <w:ind w:left="174" w:right="179" w:firstLine="1"/>
              <w:rPr>
                <w:b/>
                <w:sz w:val="18"/>
              </w:rPr>
            </w:pPr>
            <w:r>
              <w:rPr>
                <w:b/>
                <w:sz w:val="18"/>
              </w:rPr>
              <w:t>% of </w:t>
            </w:r>
            <w:r>
              <w:rPr>
                <w:b/>
                <w:w w:val="90"/>
                <w:sz w:val="18"/>
              </w:rPr>
              <w:t>Revenue </w:t>
            </w:r>
            <w:r>
              <w:rPr>
                <w:b/>
                <w:sz w:val="18"/>
              </w:rPr>
              <w:t>for the Year</w:t>
            </w:r>
          </w:p>
          <w:p>
            <w:pPr>
              <w:pStyle w:val="TableParagraph"/>
              <w:spacing w:before="11"/>
              <w:jc w:val="left"/>
              <w:rPr>
                <w:b/>
                <w:sz w:val="18"/>
              </w:rPr>
            </w:pPr>
          </w:p>
          <w:p>
            <w:pPr>
              <w:pStyle w:val="TableParagraph"/>
              <w:ind w:left="215" w:right="216"/>
              <w:rPr>
                <w:b/>
                <w:sz w:val="18"/>
              </w:rPr>
            </w:pPr>
            <w:r>
              <w:rPr>
                <w:b/>
                <w:w w:val="90"/>
                <w:sz w:val="18"/>
              </w:rPr>
              <w:t>Column </w:t>
            </w:r>
            <w:r>
              <w:rPr>
                <w:b/>
                <w:sz w:val="18"/>
              </w:rPr>
              <w:t>E</w:t>
            </w:r>
          </w:p>
        </w:tc>
        <w:tc>
          <w:tcPr>
            <w:tcW w:w="1082" w:type="dxa"/>
          </w:tcPr>
          <w:p>
            <w:pPr>
              <w:pStyle w:val="TableParagraph"/>
              <w:ind w:left="177" w:right="181" w:firstLine="1"/>
              <w:rPr>
                <w:b/>
                <w:sz w:val="18"/>
              </w:rPr>
            </w:pPr>
            <w:r>
              <w:rPr>
                <w:b/>
                <w:sz w:val="18"/>
              </w:rPr>
              <w:t>% of </w:t>
            </w:r>
            <w:r>
              <w:rPr>
                <w:b/>
                <w:w w:val="95"/>
                <w:sz w:val="18"/>
              </w:rPr>
              <w:t>Expense </w:t>
            </w:r>
            <w:r>
              <w:rPr>
                <w:b/>
                <w:sz w:val="18"/>
              </w:rPr>
              <w:t>s for the Year</w:t>
            </w:r>
          </w:p>
          <w:p>
            <w:pPr>
              <w:pStyle w:val="TableParagraph"/>
              <w:spacing w:before="11"/>
              <w:jc w:val="left"/>
              <w:rPr>
                <w:b/>
                <w:sz w:val="18"/>
              </w:rPr>
            </w:pPr>
          </w:p>
          <w:p>
            <w:pPr>
              <w:pStyle w:val="TableParagraph"/>
              <w:ind w:left="218" w:right="218"/>
              <w:rPr>
                <w:b/>
                <w:sz w:val="18"/>
              </w:rPr>
            </w:pPr>
            <w:r>
              <w:rPr>
                <w:b/>
                <w:w w:val="90"/>
                <w:sz w:val="18"/>
              </w:rPr>
              <w:t>Column </w:t>
            </w:r>
            <w:r>
              <w:rPr>
                <w:b/>
                <w:sz w:val="18"/>
              </w:rPr>
              <w:t>F</w:t>
            </w:r>
          </w:p>
        </w:tc>
        <w:tc>
          <w:tcPr>
            <w:tcW w:w="1081" w:type="dxa"/>
          </w:tcPr>
          <w:p>
            <w:pPr>
              <w:pStyle w:val="TableParagraph"/>
              <w:spacing w:before="5"/>
              <w:jc w:val="left"/>
              <w:rPr>
                <w:b/>
                <w:sz w:val="17"/>
              </w:rPr>
            </w:pPr>
          </w:p>
          <w:p>
            <w:pPr>
              <w:pStyle w:val="TableParagraph"/>
              <w:ind w:left="136" w:right="85" w:firstLine="7"/>
              <w:jc w:val="both"/>
              <w:rPr>
                <w:b/>
                <w:sz w:val="18"/>
              </w:rPr>
            </w:pPr>
            <w:r>
              <w:rPr>
                <w:b/>
                <w:sz w:val="18"/>
              </w:rPr>
              <w:t>% of the NET for the Year</w:t>
            </w:r>
          </w:p>
          <w:p>
            <w:pPr>
              <w:pStyle w:val="TableParagraph"/>
              <w:spacing w:before="7"/>
              <w:jc w:val="left"/>
              <w:rPr>
                <w:b/>
                <w:sz w:val="18"/>
              </w:rPr>
            </w:pPr>
          </w:p>
          <w:p>
            <w:pPr>
              <w:pStyle w:val="TableParagraph"/>
              <w:ind w:left="160"/>
              <w:jc w:val="both"/>
              <w:rPr>
                <w:b/>
                <w:sz w:val="18"/>
              </w:rPr>
            </w:pPr>
            <w:r>
              <w:rPr>
                <w:b/>
                <w:w w:val="95"/>
                <w:sz w:val="18"/>
              </w:rPr>
              <w:t>Column G</w:t>
            </w:r>
          </w:p>
        </w:tc>
      </w:tr>
      <w:tr>
        <w:trPr>
          <w:trHeight w:val="880" w:hRule="atLeast"/>
        </w:trPr>
        <w:tc>
          <w:tcPr>
            <w:tcW w:w="1685" w:type="dxa"/>
            <w:shd w:val="clear" w:color="auto" w:fill="FFFF00"/>
          </w:tcPr>
          <w:p>
            <w:pPr>
              <w:pStyle w:val="TableParagraph"/>
              <w:ind w:left="285" w:right="379" w:firstLine="139"/>
              <w:jc w:val="left"/>
              <w:rPr>
                <w:b/>
                <w:sz w:val="18"/>
              </w:rPr>
            </w:pPr>
            <w:r>
              <w:rPr>
                <w:b/>
                <w:sz w:val="18"/>
              </w:rPr>
              <w:t>Pinnacle Education - Tempe, Inc.</w:t>
            </w:r>
          </w:p>
        </w:tc>
        <w:tc>
          <w:tcPr>
            <w:tcW w:w="1172" w:type="dxa"/>
          </w:tcPr>
          <w:p>
            <w:pPr>
              <w:pStyle w:val="TableParagraph"/>
              <w:spacing w:before="9"/>
              <w:jc w:val="left"/>
              <w:rPr>
                <w:b/>
                <w:sz w:val="17"/>
              </w:rPr>
            </w:pPr>
          </w:p>
          <w:p>
            <w:pPr>
              <w:pStyle w:val="TableParagraph"/>
              <w:spacing w:before="1"/>
              <w:ind w:left="118" w:right="100"/>
              <w:rPr>
                <w:b/>
                <w:sz w:val="18"/>
              </w:rPr>
            </w:pPr>
            <w:r>
              <w:rPr>
                <w:b/>
                <w:w w:val="95"/>
                <w:sz w:val="18"/>
              </w:rPr>
              <w:t>$3,896,15 3</w:t>
            </w:r>
          </w:p>
        </w:tc>
        <w:tc>
          <w:tcPr>
            <w:tcW w:w="1171" w:type="dxa"/>
          </w:tcPr>
          <w:p>
            <w:pPr>
              <w:pStyle w:val="TableParagraph"/>
              <w:spacing w:before="9"/>
              <w:jc w:val="left"/>
              <w:rPr>
                <w:b/>
                <w:sz w:val="17"/>
              </w:rPr>
            </w:pPr>
          </w:p>
          <w:p>
            <w:pPr>
              <w:pStyle w:val="TableParagraph"/>
              <w:spacing w:before="1"/>
              <w:ind w:left="115" w:right="102"/>
              <w:rPr>
                <w:b/>
                <w:sz w:val="18"/>
              </w:rPr>
            </w:pPr>
            <w:r>
              <w:rPr>
                <w:b/>
                <w:w w:val="95"/>
                <w:sz w:val="18"/>
              </w:rPr>
              <w:t>$2,393,19 0</w:t>
            </w:r>
          </w:p>
        </w:tc>
        <w:tc>
          <w:tcPr>
            <w:tcW w:w="1260" w:type="dxa"/>
            <w:shd w:val="clear" w:color="auto" w:fill="FFFF00"/>
          </w:tcPr>
          <w:p>
            <w:pPr>
              <w:pStyle w:val="TableParagraph"/>
              <w:jc w:val="left"/>
              <w:rPr>
                <w:b/>
                <w:sz w:val="18"/>
              </w:rPr>
            </w:pPr>
          </w:p>
          <w:p>
            <w:pPr>
              <w:pStyle w:val="TableParagraph"/>
              <w:ind w:right="9"/>
              <w:rPr>
                <w:b/>
                <w:sz w:val="18"/>
              </w:rPr>
            </w:pPr>
            <w:r>
              <w:rPr>
                <w:b/>
                <w:w w:val="97"/>
                <w:sz w:val="18"/>
              </w:rPr>
              <w:t>-</w:t>
            </w:r>
          </w:p>
          <w:p>
            <w:pPr>
              <w:pStyle w:val="TableParagraph"/>
              <w:spacing w:before="1"/>
              <w:ind w:left="115" w:right="117"/>
              <w:rPr>
                <w:b/>
                <w:sz w:val="18"/>
              </w:rPr>
            </w:pPr>
            <w:r>
              <w:rPr>
                <w:b/>
                <w:sz w:val="18"/>
              </w:rPr>
              <w:t>$1,744,085</w:t>
            </w:r>
          </w:p>
        </w:tc>
        <w:tc>
          <w:tcPr>
            <w:tcW w:w="1078" w:type="dxa"/>
            <w:shd w:val="clear" w:color="auto" w:fill="FFFF00"/>
          </w:tcPr>
          <w:p>
            <w:pPr>
              <w:pStyle w:val="TableParagraph"/>
              <w:jc w:val="left"/>
              <w:rPr>
                <w:b/>
                <w:sz w:val="20"/>
              </w:rPr>
            </w:pPr>
          </w:p>
          <w:p>
            <w:pPr>
              <w:pStyle w:val="TableParagraph"/>
              <w:spacing w:before="4"/>
              <w:jc w:val="left"/>
              <w:rPr>
                <w:b/>
                <w:sz w:val="16"/>
              </w:rPr>
            </w:pPr>
          </w:p>
          <w:p>
            <w:pPr>
              <w:pStyle w:val="TableParagraph"/>
              <w:spacing w:before="1"/>
              <w:ind w:left="227"/>
              <w:jc w:val="left"/>
              <w:rPr>
                <w:b/>
                <w:sz w:val="18"/>
              </w:rPr>
            </w:pPr>
            <w:r>
              <w:rPr>
                <w:b/>
                <w:sz w:val="18"/>
              </w:rPr>
              <w:t>44.76%</w:t>
            </w:r>
          </w:p>
        </w:tc>
        <w:tc>
          <w:tcPr>
            <w:tcW w:w="1082" w:type="dxa"/>
          </w:tcPr>
          <w:p>
            <w:pPr>
              <w:pStyle w:val="TableParagraph"/>
              <w:jc w:val="left"/>
              <w:rPr>
                <w:b/>
                <w:sz w:val="20"/>
              </w:rPr>
            </w:pPr>
          </w:p>
          <w:p>
            <w:pPr>
              <w:pStyle w:val="TableParagraph"/>
              <w:spacing w:before="4"/>
              <w:jc w:val="left"/>
              <w:rPr>
                <w:b/>
                <w:sz w:val="16"/>
              </w:rPr>
            </w:pPr>
          </w:p>
          <w:p>
            <w:pPr>
              <w:pStyle w:val="TableParagraph"/>
              <w:spacing w:before="1"/>
              <w:ind w:right="195"/>
              <w:jc w:val="right"/>
              <w:rPr>
                <w:b/>
                <w:sz w:val="18"/>
              </w:rPr>
            </w:pPr>
            <w:r>
              <w:rPr>
                <w:b/>
                <w:w w:val="90"/>
                <w:sz w:val="18"/>
              </w:rPr>
              <w:t>72.88%</w:t>
            </w:r>
          </w:p>
        </w:tc>
        <w:tc>
          <w:tcPr>
            <w:tcW w:w="1081" w:type="dxa"/>
            <w:shd w:val="clear" w:color="auto" w:fill="FFFF00"/>
          </w:tcPr>
          <w:p>
            <w:pPr>
              <w:pStyle w:val="TableParagraph"/>
              <w:jc w:val="left"/>
              <w:rPr>
                <w:b/>
                <w:sz w:val="20"/>
              </w:rPr>
            </w:pPr>
          </w:p>
          <w:p>
            <w:pPr>
              <w:pStyle w:val="TableParagraph"/>
              <w:spacing w:before="4"/>
              <w:jc w:val="left"/>
              <w:rPr>
                <w:b/>
                <w:sz w:val="16"/>
              </w:rPr>
            </w:pPr>
          </w:p>
          <w:p>
            <w:pPr>
              <w:pStyle w:val="TableParagraph"/>
              <w:spacing w:before="1"/>
              <w:ind w:left="177"/>
              <w:jc w:val="left"/>
              <w:rPr>
                <w:b/>
                <w:sz w:val="18"/>
              </w:rPr>
            </w:pPr>
            <w:r>
              <w:rPr>
                <w:b/>
                <w:sz w:val="18"/>
              </w:rPr>
              <w:t>116.04%</w:t>
            </w:r>
          </w:p>
        </w:tc>
      </w:tr>
      <w:tr>
        <w:trPr>
          <w:trHeight w:val="640" w:hRule="atLeast"/>
        </w:trPr>
        <w:tc>
          <w:tcPr>
            <w:tcW w:w="1685" w:type="dxa"/>
            <w:shd w:val="clear" w:color="auto" w:fill="FFFF00"/>
          </w:tcPr>
          <w:p>
            <w:pPr>
              <w:pStyle w:val="TableParagraph"/>
              <w:spacing w:before="3"/>
              <w:jc w:val="left"/>
              <w:rPr>
                <w:b/>
                <w:sz w:val="18"/>
              </w:rPr>
            </w:pPr>
          </w:p>
          <w:p>
            <w:pPr>
              <w:pStyle w:val="TableParagraph"/>
              <w:ind w:left="364"/>
              <w:jc w:val="left"/>
              <w:rPr>
                <w:b/>
                <w:sz w:val="18"/>
              </w:rPr>
            </w:pPr>
            <w:r>
              <w:rPr>
                <w:b/>
                <w:sz w:val="18"/>
              </w:rPr>
              <w:t>GAR, LLC</w:t>
            </w:r>
          </w:p>
        </w:tc>
        <w:tc>
          <w:tcPr>
            <w:tcW w:w="1172" w:type="dxa"/>
          </w:tcPr>
          <w:p>
            <w:pPr>
              <w:pStyle w:val="TableParagraph"/>
              <w:spacing w:line="201" w:lineRule="exact"/>
              <w:ind w:left="118" w:right="100"/>
              <w:rPr>
                <w:b/>
                <w:sz w:val="18"/>
              </w:rPr>
            </w:pPr>
            <w:r>
              <w:rPr>
                <w:b/>
                <w:w w:val="95"/>
                <w:sz w:val="18"/>
              </w:rPr>
              <w:t>$2,641,94 2</w:t>
            </w:r>
          </w:p>
        </w:tc>
        <w:tc>
          <w:tcPr>
            <w:tcW w:w="1171" w:type="dxa"/>
          </w:tcPr>
          <w:p>
            <w:pPr>
              <w:pStyle w:val="TableParagraph"/>
              <w:spacing w:line="201" w:lineRule="exact"/>
              <w:ind w:left="115" w:right="102"/>
              <w:rPr>
                <w:b/>
                <w:sz w:val="18"/>
              </w:rPr>
            </w:pPr>
            <w:r>
              <w:rPr>
                <w:b/>
                <w:w w:val="95"/>
                <w:sz w:val="18"/>
              </w:rPr>
              <w:t>$1,455,86 0</w:t>
            </w:r>
          </w:p>
        </w:tc>
        <w:tc>
          <w:tcPr>
            <w:tcW w:w="1260" w:type="dxa"/>
            <w:shd w:val="clear" w:color="auto" w:fill="FFFF00"/>
          </w:tcPr>
          <w:p>
            <w:pPr>
              <w:pStyle w:val="TableParagraph"/>
              <w:spacing w:before="11"/>
              <w:ind w:right="9"/>
              <w:rPr>
                <w:b/>
                <w:sz w:val="18"/>
              </w:rPr>
            </w:pPr>
            <w:r>
              <w:rPr>
                <w:b/>
                <w:w w:val="97"/>
                <w:sz w:val="18"/>
              </w:rPr>
              <w:t>-</w:t>
            </w:r>
          </w:p>
          <w:p>
            <w:pPr>
              <w:pStyle w:val="TableParagraph"/>
              <w:spacing w:before="4"/>
              <w:ind w:left="115" w:right="117"/>
              <w:rPr>
                <w:b/>
                <w:sz w:val="18"/>
              </w:rPr>
            </w:pPr>
            <w:r>
              <w:rPr>
                <w:b/>
                <w:sz w:val="18"/>
              </w:rPr>
              <w:t>$1,034,734</w:t>
            </w:r>
          </w:p>
        </w:tc>
        <w:tc>
          <w:tcPr>
            <w:tcW w:w="1078" w:type="dxa"/>
            <w:shd w:val="clear" w:color="auto" w:fill="FFFF00"/>
          </w:tcPr>
          <w:p>
            <w:pPr>
              <w:pStyle w:val="TableParagraph"/>
              <w:spacing w:before="3"/>
              <w:jc w:val="left"/>
              <w:rPr>
                <w:b/>
                <w:sz w:val="18"/>
              </w:rPr>
            </w:pPr>
          </w:p>
          <w:p>
            <w:pPr>
              <w:pStyle w:val="TableParagraph"/>
              <w:ind w:left="227"/>
              <w:jc w:val="left"/>
              <w:rPr>
                <w:b/>
                <w:sz w:val="18"/>
              </w:rPr>
            </w:pPr>
            <w:r>
              <w:rPr>
                <w:b/>
                <w:sz w:val="18"/>
              </w:rPr>
              <w:t>39.17%</w:t>
            </w:r>
          </w:p>
        </w:tc>
        <w:tc>
          <w:tcPr>
            <w:tcW w:w="1082" w:type="dxa"/>
          </w:tcPr>
          <w:p>
            <w:pPr>
              <w:pStyle w:val="TableParagraph"/>
              <w:spacing w:before="3"/>
              <w:jc w:val="left"/>
              <w:rPr>
                <w:b/>
                <w:sz w:val="18"/>
              </w:rPr>
            </w:pPr>
          </w:p>
          <w:p>
            <w:pPr>
              <w:pStyle w:val="TableParagraph"/>
              <w:ind w:right="195"/>
              <w:jc w:val="right"/>
              <w:rPr>
                <w:b/>
                <w:sz w:val="18"/>
              </w:rPr>
            </w:pPr>
            <w:r>
              <w:rPr>
                <w:b/>
                <w:w w:val="90"/>
                <w:sz w:val="18"/>
              </w:rPr>
              <w:t>71.07%</w:t>
            </w:r>
          </w:p>
        </w:tc>
        <w:tc>
          <w:tcPr>
            <w:tcW w:w="1081" w:type="dxa"/>
          </w:tcPr>
          <w:p>
            <w:pPr>
              <w:pStyle w:val="TableParagraph"/>
              <w:spacing w:before="3"/>
              <w:jc w:val="left"/>
              <w:rPr>
                <w:b/>
                <w:sz w:val="18"/>
              </w:rPr>
            </w:pPr>
          </w:p>
          <w:p>
            <w:pPr>
              <w:pStyle w:val="TableParagraph"/>
              <w:ind w:left="227"/>
              <w:jc w:val="left"/>
              <w:rPr>
                <w:b/>
                <w:sz w:val="18"/>
              </w:rPr>
            </w:pPr>
            <w:r>
              <w:rPr>
                <w:b/>
                <w:sz w:val="18"/>
              </w:rPr>
              <w:t>87.24%</w:t>
            </w:r>
          </w:p>
        </w:tc>
      </w:tr>
      <w:tr>
        <w:trPr>
          <w:trHeight w:val="880" w:hRule="atLeast"/>
        </w:trPr>
        <w:tc>
          <w:tcPr>
            <w:tcW w:w="1685" w:type="dxa"/>
            <w:shd w:val="clear" w:color="auto" w:fill="FFFF00"/>
          </w:tcPr>
          <w:p>
            <w:pPr>
              <w:pStyle w:val="TableParagraph"/>
              <w:spacing w:line="242" w:lineRule="auto"/>
              <w:ind w:left="143" w:right="131" w:firstLine="179"/>
              <w:jc w:val="left"/>
              <w:rPr>
                <w:b/>
                <w:sz w:val="18"/>
              </w:rPr>
            </w:pPr>
            <w:r>
              <w:rPr>
                <w:b/>
                <w:sz w:val="18"/>
              </w:rPr>
              <w:t>Accelerated Learning Center</w:t>
            </w:r>
          </w:p>
        </w:tc>
        <w:tc>
          <w:tcPr>
            <w:tcW w:w="1172" w:type="dxa"/>
          </w:tcPr>
          <w:p>
            <w:pPr>
              <w:pStyle w:val="TableParagraph"/>
              <w:jc w:val="left"/>
              <w:rPr>
                <w:b/>
                <w:sz w:val="18"/>
              </w:rPr>
            </w:pPr>
          </w:p>
          <w:p>
            <w:pPr>
              <w:pStyle w:val="TableParagraph"/>
              <w:ind w:left="118" w:right="100"/>
              <w:rPr>
                <w:b/>
                <w:sz w:val="18"/>
              </w:rPr>
            </w:pPr>
            <w:r>
              <w:rPr>
                <w:b/>
                <w:w w:val="95"/>
                <w:sz w:val="18"/>
              </w:rPr>
              <w:t>$1,542,02 6</w:t>
            </w:r>
          </w:p>
        </w:tc>
        <w:tc>
          <w:tcPr>
            <w:tcW w:w="1171" w:type="dxa"/>
          </w:tcPr>
          <w:p>
            <w:pPr>
              <w:pStyle w:val="TableParagraph"/>
              <w:jc w:val="left"/>
              <w:rPr>
                <w:b/>
                <w:sz w:val="18"/>
              </w:rPr>
            </w:pPr>
          </w:p>
          <w:p>
            <w:pPr>
              <w:pStyle w:val="TableParagraph"/>
              <w:ind w:left="115" w:right="102"/>
              <w:rPr>
                <w:b/>
                <w:sz w:val="18"/>
              </w:rPr>
            </w:pPr>
            <w:r>
              <w:rPr>
                <w:b/>
                <w:w w:val="95"/>
                <w:sz w:val="18"/>
              </w:rPr>
              <w:t>$1,124,86 2</w:t>
            </w:r>
          </w:p>
        </w:tc>
        <w:tc>
          <w:tcPr>
            <w:tcW w:w="1260" w:type="dxa"/>
            <w:shd w:val="clear" w:color="auto" w:fill="FFFF00"/>
          </w:tcPr>
          <w:p>
            <w:pPr>
              <w:pStyle w:val="TableParagraph"/>
              <w:jc w:val="left"/>
              <w:rPr>
                <w:b/>
                <w:sz w:val="20"/>
              </w:rPr>
            </w:pPr>
          </w:p>
          <w:p>
            <w:pPr>
              <w:pStyle w:val="TableParagraph"/>
              <w:jc w:val="left"/>
              <w:rPr>
                <w:b/>
                <w:sz w:val="16"/>
              </w:rPr>
            </w:pPr>
          </w:p>
          <w:p>
            <w:pPr>
              <w:pStyle w:val="TableParagraph"/>
              <w:ind w:left="115" w:right="119"/>
              <w:rPr>
                <w:b/>
                <w:sz w:val="18"/>
              </w:rPr>
            </w:pPr>
            <w:r>
              <w:rPr>
                <w:b/>
                <w:sz w:val="18"/>
              </w:rPr>
              <w:t>-$382,400</w:t>
            </w:r>
          </w:p>
        </w:tc>
        <w:tc>
          <w:tcPr>
            <w:tcW w:w="1078" w:type="dxa"/>
            <w:shd w:val="clear" w:color="auto" w:fill="FFFF00"/>
          </w:tcPr>
          <w:p>
            <w:pPr>
              <w:pStyle w:val="TableParagraph"/>
              <w:jc w:val="left"/>
              <w:rPr>
                <w:b/>
                <w:sz w:val="20"/>
              </w:rPr>
            </w:pPr>
          </w:p>
          <w:p>
            <w:pPr>
              <w:pStyle w:val="TableParagraph"/>
              <w:jc w:val="left"/>
              <w:rPr>
                <w:b/>
                <w:sz w:val="16"/>
              </w:rPr>
            </w:pPr>
          </w:p>
          <w:p>
            <w:pPr>
              <w:pStyle w:val="TableParagraph"/>
              <w:ind w:left="227"/>
              <w:jc w:val="left"/>
              <w:rPr>
                <w:b/>
                <w:sz w:val="18"/>
              </w:rPr>
            </w:pPr>
            <w:r>
              <w:rPr>
                <w:b/>
                <w:sz w:val="18"/>
              </w:rPr>
              <w:t>24.80%</w:t>
            </w:r>
          </w:p>
        </w:tc>
        <w:tc>
          <w:tcPr>
            <w:tcW w:w="1082" w:type="dxa"/>
          </w:tcPr>
          <w:p>
            <w:pPr>
              <w:pStyle w:val="TableParagraph"/>
              <w:jc w:val="left"/>
              <w:rPr>
                <w:b/>
                <w:sz w:val="20"/>
              </w:rPr>
            </w:pPr>
          </w:p>
          <w:p>
            <w:pPr>
              <w:pStyle w:val="TableParagraph"/>
              <w:jc w:val="left"/>
              <w:rPr>
                <w:b/>
                <w:sz w:val="16"/>
              </w:rPr>
            </w:pPr>
          </w:p>
          <w:p>
            <w:pPr>
              <w:pStyle w:val="TableParagraph"/>
              <w:ind w:right="195"/>
              <w:jc w:val="right"/>
              <w:rPr>
                <w:b/>
                <w:sz w:val="18"/>
              </w:rPr>
            </w:pPr>
            <w:r>
              <w:rPr>
                <w:b/>
                <w:w w:val="90"/>
                <w:sz w:val="18"/>
              </w:rPr>
              <w:t>34.00%</w:t>
            </w:r>
          </w:p>
        </w:tc>
        <w:tc>
          <w:tcPr>
            <w:tcW w:w="1081" w:type="dxa"/>
          </w:tcPr>
          <w:p>
            <w:pPr>
              <w:pStyle w:val="TableParagraph"/>
              <w:jc w:val="left"/>
              <w:rPr>
                <w:b/>
                <w:sz w:val="20"/>
              </w:rPr>
            </w:pPr>
          </w:p>
          <w:p>
            <w:pPr>
              <w:pStyle w:val="TableParagraph"/>
              <w:jc w:val="left"/>
              <w:rPr>
                <w:b/>
                <w:sz w:val="16"/>
              </w:rPr>
            </w:pPr>
          </w:p>
          <w:p>
            <w:pPr>
              <w:pStyle w:val="TableParagraph"/>
              <w:ind w:left="227"/>
              <w:jc w:val="left"/>
              <w:rPr>
                <w:b/>
                <w:sz w:val="18"/>
              </w:rPr>
            </w:pPr>
            <w:r>
              <w:rPr>
                <w:b/>
                <w:sz w:val="18"/>
              </w:rPr>
              <w:t>91.67%</w:t>
            </w:r>
          </w:p>
        </w:tc>
      </w:tr>
      <w:tr>
        <w:trPr>
          <w:trHeight w:val="880" w:hRule="atLeast"/>
        </w:trPr>
        <w:tc>
          <w:tcPr>
            <w:tcW w:w="1685" w:type="dxa"/>
            <w:shd w:val="clear" w:color="auto" w:fill="FFFF00"/>
          </w:tcPr>
          <w:p>
            <w:pPr>
              <w:pStyle w:val="TableParagraph"/>
              <w:ind w:left="285" w:right="379" w:firstLine="139"/>
              <w:jc w:val="left"/>
              <w:rPr>
                <w:b/>
                <w:sz w:val="18"/>
              </w:rPr>
            </w:pPr>
            <w:r>
              <w:rPr>
                <w:b/>
                <w:sz w:val="18"/>
              </w:rPr>
              <w:t>Pinnacle Education - WMCB, Inc.</w:t>
            </w:r>
          </w:p>
        </w:tc>
        <w:tc>
          <w:tcPr>
            <w:tcW w:w="1172" w:type="dxa"/>
          </w:tcPr>
          <w:p>
            <w:pPr>
              <w:pStyle w:val="TableParagraph"/>
              <w:jc w:val="left"/>
              <w:rPr>
                <w:b/>
                <w:sz w:val="20"/>
              </w:rPr>
            </w:pPr>
          </w:p>
          <w:p>
            <w:pPr>
              <w:pStyle w:val="TableParagraph"/>
              <w:jc w:val="left"/>
              <w:rPr>
                <w:b/>
                <w:sz w:val="16"/>
              </w:rPr>
            </w:pPr>
          </w:p>
          <w:p>
            <w:pPr>
              <w:pStyle w:val="TableParagraph"/>
              <w:ind w:left="102" w:right="100"/>
              <w:rPr>
                <w:b/>
                <w:sz w:val="18"/>
              </w:rPr>
            </w:pPr>
            <w:r>
              <w:rPr>
                <w:b/>
                <w:sz w:val="18"/>
              </w:rPr>
              <w:t>$383,617</w:t>
            </w:r>
          </w:p>
        </w:tc>
        <w:tc>
          <w:tcPr>
            <w:tcW w:w="1171" w:type="dxa"/>
          </w:tcPr>
          <w:p>
            <w:pPr>
              <w:pStyle w:val="TableParagraph"/>
              <w:jc w:val="left"/>
              <w:rPr>
                <w:b/>
                <w:sz w:val="20"/>
              </w:rPr>
            </w:pPr>
          </w:p>
          <w:p>
            <w:pPr>
              <w:pStyle w:val="TableParagraph"/>
              <w:jc w:val="left"/>
              <w:rPr>
                <w:b/>
                <w:sz w:val="16"/>
              </w:rPr>
            </w:pPr>
          </w:p>
          <w:p>
            <w:pPr>
              <w:pStyle w:val="TableParagraph"/>
              <w:ind w:left="101" w:right="102"/>
              <w:rPr>
                <w:b/>
                <w:sz w:val="18"/>
              </w:rPr>
            </w:pPr>
            <w:r>
              <w:rPr>
                <w:b/>
                <w:sz w:val="18"/>
              </w:rPr>
              <w:t>$348,745</w:t>
            </w:r>
          </w:p>
        </w:tc>
        <w:tc>
          <w:tcPr>
            <w:tcW w:w="1260" w:type="dxa"/>
            <w:shd w:val="clear" w:color="auto" w:fill="FFFF00"/>
          </w:tcPr>
          <w:p>
            <w:pPr>
              <w:pStyle w:val="TableParagraph"/>
              <w:jc w:val="left"/>
              <w:rPr>
                <w:b/>
                <w:sz w:val="20"/>
              </w:rPr>
            </w:pPr>
          </w:p>
          <w:p>
            <w:pPr>
              <w:pStyle w:val="TableParagraph"/>
              <w:jc w:val="left"/>
              <w:rPr>
                <w:b/>
                <w:sz w:val="16"/>
              </w:rPr>
            </w:pPr>
          </w:p>
          <w:p>
            <w:pPr>
              <w:pStyle w:val="TableParagraph"/>
              <w:ind w:left="115" w:right="119"/>
              <w:rPr>
                <w:b/>
                <w:sz w:val="18"/>
              </w:rPr>
            </w:pPr>
            <w:r>
              <w:rPr>
                <w:b/>
                <w:sz w:val="18"/>
              </w:rPr>
              <w:t>-$58,871</w:t>
            </w:r>
          </w:p>
        </w:tc>
        <w:tc>
          <w:tcPr>
            <w:tcW w:w="1078" w:type="dxa"/>
            <w:shd w:val="clear" w:color="auto" w:fill="FFFF00"/>
          </w:tcPr>
          <w:p>
            <w:pPr>
              <w:pStyle w:val="TableParagraph"/>
              <w:jc w:val="left"/>
              <w:rPr>
                <w:b/>
                <w:sz w:val="20"/>
              </w:rPr>
            </w:pPr>
          </w:p>
          <w:p>
            <w:pPr>
              <w:pStyle w:val="TableParagraph"/>
              <w:jc w:val="left"/>
              <w:rPr>
                <w:b/>
                <w:sz w:val="16"/>
              </w:rPr>
            </w:pPr>
          </w:p>
          <w:p>
            <w:pPr>
              <w:pStyle w:val="TableParagraph"/>
              <w:ind w:left="227"/>
              <w:jc w:val="left"/>
              <w:rPr>
                <w:b/>
                <w:sz w:val="18"/>
              </w:rPr>
            </w:pPr>
            <w:r>
              <w:rPr>
                <w:b/>
                <w:sz w:val="18"/>
              </w:rPr>
              <w:t>15.35%</w:t>
            </w:r>
          </w:p>
        </w:tc>
        <w:tc>
          <w:tcPr>
            <w:tcW w:w="1082" w:type="dxa"/>
          </w:tcPr>
          <w:p>
            <w:pPr>
              <w:pStyle w:val="TableParagraph"/>
              <w:jc w:val="left"/>
              <w:rPr>
                <w:b/>
                <w:sz w:val="20"/>
              </w:rPr>
            </w:pPr>
          </w:p>
          <w:p>
            <w:pPr>
              <w:pStyle w:val="TableParagraph"/>
              <w:jc w:val="left"/>
              <w:rPr>
                <w:b/>
                <w:sz w:val="16"/>
              </w:rPr>
            </w:pPr>
          </w:p>
          <w:p>
            <w:pPr>
              <w:pStyle w:val="TableParagraph"/>
              <w:ind w:right="195"/>
              <w:jc w:val="right"/>
              <w:rPr>
                <w:b/>
                <w:sz w:val="18"/>
              </w:rPr>
            </w:pPr>
            <w:r>
              <w:rPr>
                <w:b/>
                <w:w w:val="90"/>
                <w:sz w:val="18"/>
              </w:rPr>
              <w:t>16.88%</w:t>
            </w:r>
          </w:p>
        </w:tc>
        <w:tc>
          <w:tcPr>
            <w:tcW w:w="1081" w:type="dxa"/>
            <w:shd w:val="clear" w:color="auto" w:fill="FFFF00"/>
          </w:tcPr>
          <w:p>
            <w:pPr>
              <w:pStyle w:val="TableParagraph"/>
              <w:jc w:val="left"/>
              <w:rPr>
                <w:b/>
                <w:sz w:val="20"/>
              </w:rPr>
            </w:pPr>
          </w:p>
          <w:p>
            <w:pPr>
              <w:pStyle w:val="TableParagraph"/>
              <w:jc w:val="left"/>
              <w:rPr>
                <w:b/>
                <w:sz w:val="16"/>
              </w:rPr>
            </w:pPr>
          </w:p>
          <w:p>
            <w:pPr>
              <w:pStyle w:val="TableParagraph"/>
              <w:ind w:left="177"/>
              <w:jc w:val="left"/>
              <w:rPr>
                <w:b/>
                <w:sz w:val="18"/>
              </w:rPr>
            </w:pPr>
            <w:r>
              <w:rPr>
                <w:b/>
                <w:sz w:val="18"/>
              </w:rPr>
              <w:t>168.82%</w:t>
            </w:r>
          </w:p>
        </w:tc>
      </w:tr>
      <w:tr>
        <w:trPr>
          <w:trHeight w:val="880" w:hRule="atLeast"/>
        </w:trPr>
        <w:tc>
          <w:tcPr>
            <w:tcW w:w="1685" w:type="dxa"/>
            <w:shd w:val="clear" w:color="auto" w:fill="FFFF00"/>
          </w:tcPr>
          <w:p>
            <w:pPr>
              <w:pStyle w:val="TableParagraph"/>
              <w:ind w:left="345" w:right="345" w:hanging="6"/>
              <w:rPr>
                <w:b/>
                <w:sz w:val="18"/>
              </w:rPr>
            </w:pPr>
            <w:r>
              <w:rPr>
                <w:b/>
                <w:sz w:val="18"/>
              </w:rPr>
              <w:t>Pinnacle Education - Kino, Inc.</w:t>
            </w:r>
          </w:p>
        </w:tc>
        <w:tc>
          <w:tcPr>
            <w:tcW w:w="1172" w:type="dxa"/>
          </w:tcPr>
          <w:p>
            <w:pPr>
              <w:pStyle w:val="TableParagraph"/>
              <w:jc w:val="left"/>
              <w:rPr>
                <w:b/>
                <w:sz w:val="20"/>
              </w:rPr>
            </w:pPr>
          </w:p>
          <w:p>
            <w:pPr>
              <w:pStyle w:val="TableParagraph"/>
              <w:jc w:val="left"/>
              <w:rPr>
                <w:b/>
                <w:sz w:val="16"/>
              </w:rPr>
            </w:pPr>
          </w:p>
          <w:p>
            <w:pPr>
              <w:pStyle w:val="TableParagraph"/>
              <w:ind w:left="102" w:right="100"/>
              <w:rPr>
                <w:b/>
                <w:sz w:val="18"/>
              </w:rPr>
            </w:pPr>
            <w:r>
              <w:rPr>
                <w:b/>
                <w:sz w:val="18"/>
              </w:rPr>
              <w:t>$434,077</w:t>
            </w:r>
          </w:p>
        </w:tc>
        <w:tc>
          <w:tcPr>
            <w:tcW w:w="1171" w:type="dxa"/>
          </w:tcPr>
          <w:p>
            <w:pPr>
              <w:pStyle w:val="TableParagraph"/>
              <w:jc w:val="left"/>
              <w:rPr>
                <w:b/>
                <w:sz w:val="20"/>
              </w:rPr>
            </w:pPr>
          </w:p>
          <w:p>
            <w:pPr>
              <w:pStyle w:val="TableParagraph"/>
              <w:jc w:val="left"/>
              <w:rPr>
                <w:b/>
                <w:sz w:val="16"/>
              </w:rPr>
            </w:pPr>
          </w:p>
          <w:p>
            <w:pPr>
              <w:pStyle w:val="TableParagraph"/>
              <w:ind w:left="101" w:right="102"/>
              <w:rPr>
                <w:b/>
                <w:sz w:val="18"/>
              </w:rPr>
            </w:pPr>
            <w:r>
              <w:rPr>
                <w:b/>
                <w:sz w:val="18"/>
              </w:rPr>
              <w:t>$373,813</w:t>
            </w:r>
          </w:p>
        </w:tc>
        <w:tc>
          <w:tcPr>
            <w:tcW w:w="1260" w:type="dxa"/>
            <w:shd w:val="clear" w:color="auto" w:fill="FFFF00"/>
          </w:tcPr>
          <w:p>
            <w:pPr>
              <w:pStyle w:val="TableParagraph"/>
              <w:jc w:val="left"/>
              <w:rPr>
                <w:b/>
                <w:sz w:val="20"/>
              </w:rPr>
            </w:pPr>
          </w:p>
          <w:p>
            <w:pPr>
              <w:pStyle w:val="TableParagraph"/>
              <w:jc w:val="left"/>
              <w:rPr>
                <w:b/>
                <w:sz w:val="16"/>
              </w:rPr>
            </w:pPr>
          </w:p>
          <w:p>
            <w:pPr>
              <w:pStyle w:val="TableParagraph"/>
              <w:ind w:left="115" w:right="119"/>
              <w:rPr>
                <w:b/>
                <w:sz w:val="18"/>
              </w:rPr>
            </w:pPr>
            <w:r>
              <w:rPr>
                <w:b/>
                <w:sz w:val="18"/>
              </w:rPr>
              <w:t>-$53,393</w:t>
            </w:r>
          </w:p>
        </w:tc>
        <w:tc>
          <w:tcPr>
            <w:tcW w:w="1078" w:type="dxa"/>
            <w:shd w:val="clear" w:color="auto" w:fill="FFFF00"/>
          </w:tcPr>
          <w:p>
            <w:pPr>
              <w:pStyle w:val="TableParagraph"/>
              <w:jc w:val="left"/>
              <w:rPr>
                <w:b/>
                <w:sz w:val="20"/>
              </w:rPr>
            </w:pPr>
          </w:p>
          <w:p>
            <w:pPr>
              <w:pStyle w:val="TableParagraph"/>
              <w:jc w:val="left"/>
              <w:rPr>
                <w:b/>
                <w:sz w:val="16"/>
              </w:rPr>
            </w:pPr>
          </w:p>
          <w:p>
            <w:pPr>
              <w:pStyle w:val="TableParagraph"/>
              <w:ind w:left="227"/>
              <w:jc w:val="left"/>
              <w:rPr>
                <w:b/>
                <w:sz w:val="18"/>
              </w:rPr>
            </w:pPr>
            <w:r>
              <w:rPr>
                <w:b/>
                <w:sz w:val="18"/>
              </w:rPr>
              <w:t>12.30%</w:t>
            </w:r>
          </w:p>
        </w:tc>
        <w:tc>
          <w:tcPr>
            <w:tcW w:w="1082" w:type="dxa"/>
          </w:tcPr>
          <w:p>
            <w:pPr>
              <w:pStyle w:val="TableParagraph"/>
              <w:jc w:val="left"/>
              <w:rPr>
                <w:b/>
                <w:sz w:val="20"/>
              </w:rPr>
            </w:pPr>
          </w:p>
          <w:p>
            <w:pPr>
              <w:pStyle w:val="TableParagraph"/>
              <w:jc w:val="left"/>
              <w:rPr>
                <w:b/>
                <w:sz w:val="16"/>
              </w:rPr>
            </w:pPr>
          </w:p>
          <w:p>
            <w:pPr>
              <w:pStyle w:val="TableParagraph"/>
              <w:ind w:right="195"/>
              <w:jc w:val="right"/>
              <w:rPr>
                <w:b/>
                <w:sz w:val="18"/>
              </w:rPr>
            </w:pPr>
            <w:r>
              <w:rPr>
                <w:b/>
                <w:w w:val="90"/>
                <w:sz w:val="18"/>
              </w:rPr>
              <w:t>14.28%</w:t>
            </w:r>
          </w:p>
        </w:tc>
        <w:tc>
          <w:tcPr>
            <w:tcW w:w="1081" w:type="dxa"/>
          </w:tcPr>
          <w:p>
            <w:pPr>
              <w:pStyle w:val="TableParagraph"/>
              <w:jc w:val="left"/>
              <w:rPr>
                <w:b/>
                <w:sz w:val="20"/>
              </w:rPr>
            </w:pPr>
          </w:p>
          <w:p>
            <w:pPr>
              <w:pStyle w:val="TableParagraph"/>
              <w:jc w:val="left"/>
              <w:rPr>
                <w:b/>
                <w:sz w:val="16"/>
              </w:rPr>
            </w:pPr>
          </w:p>
          <w:p>
            <w:pPr>
              <w:pStyle w:val="TableParagraph"/>
              <w:ind w:left="227"/>
              <w:jc w:val="left"/>
              <w:rPr>
                <w:b/>
                <w:sz w:val="18"/>
              </w:rPr>
            </w:pPr>
            <w:r>
              <w:rPr>
                <w:b/>
                <w:sz w:val="18"/>
              </w:rPr>
              <w:t>88.60%</w:t>
            </w:r>
          </w:p>
        </w:tc>
      </w:tr>
      <w:tr>
        <w:trPr>
          <w:trHeight w:val="880" w:hRule="atLeast"/>
        </w:trPr>
        <w:tc>
          <w:tcPr>
            <w:tcW w:w="1685" w:type="dxa"/>
            <w:shd w:val="clear" w:color="auto" w:fill="FFFF00"/>
          </w:tcPr>
          <w:p>
            <w:pPr>
              <w:pStyle w:val="TableParagraph"/>
              <w:ind w:left="160" w:right="159" w:hanging="6"/>
              <w:rPr>
                <w:b/>
                <w:sz w:val="18"/>
              </w:rPr>
            </w:pPr>
            <w:r>
              <w:rPr>
                <w:b/>
                <w:sz w:val="18"/>
              </w:rPr>
              <w:t>SELF </w:t>
            </w:r>
            <w:r>
              <w:rPr>
                <w:b/>
                <w:w w:val="95"/>
                <w:sz w:val="18"/>
              </w:rPr>
              <w:t>DEVELOPMEN T </w:t>
            </w:r>
            <w:r>
              <w:rPr>
                <w:b/>
                <w:sz w:val="18"/>
              </w:rPr>
              <w:t>ACADEMY</w:t>
            </w:r>
          </w:p>
        </w:tc>
        <w:tc>
          <w:tcPr>
            <w:tcW w:w="1172" w:type="dxa"/>
          </w:tcPr>
          <w:p>
            <w:pPr>
              <w:pStyle w:val="TableParagraph"/>
              <w:spacing w:before="9"/>
              <w:jc w:val="left"/>
              <w:rPr>
                <w:b/>
                <w:sz w:val="17"/>
              </w:rPr>
            </w:pPr>
          </w:p>
          <w:p>
            <w:pPr>
              <w:pStyle w:val="TableParagraph"/>
              <w:spacing w:before="1"/>
              <w:ind w:left="118" w:right="100"/>
              <w:rPr>
                <w:b/>
                <w:sz w:val="18"/>
              </w:rPr>
            </w:pPr>
            <w:r>
              <w:rPr>
                <w:b/>
                <w:w w:val="95"/>
                <w:sz w:val="18"/>
              </w:rPr>
              <w:t>$3,012,37 9</w:t>
            </w:r>
          </w:p>
        </w:tc>
        <w:tc>
          <w:tcPr>
            <w:tcW w:w="1171" w:type="dxa"/>
          </w:tcPr>
          <w:p>
            <w:pPr>
              <w:pStyle w:val="TableParagraph"/>
              <w:spacing w:before="9"/>
              <w:jc w:val="left"/>
              <w:rPr>
                <w:b/>
                <w:sz w:val="17"/>
              </w:rPr>
            </w:pPr>
          </w:p>
          <w:p>
            <w:pPr>
              <w:pStyle w:val="TableParagraph"/>
              <w:spacing w:before="1"/>
              <w:ind w:left="115" w:right="102"/>
              <w:rPr>
                <w:b/>
                <w:sz w:val="18"/>
              </w:rPr>
            </w:pPr>
            <w:r>
              <w:rPr>
                <w:b/>
                <w:w w:val="95"/>
                <w:sz w:val="18"/>
              </w:rPr>
              <w:t>$2,468,02 6</w:t>
            </w:r>
          </w:p>
        </w:tc>
        <w:tc>
          <w:tcPr>
            <w:tcW w:w="1260" w:type="dxa"/>
            <w:shd w:val="clear" w:color="auto" w:fill="FFFF00"/>
          </w:tcPr>
          <w:p>
            <w:pPr>
              <w:pStyle w:val="TableParagraph"/>
              <w:jc w:val="left"/>
              <w:rPr>
                <w:b/>
                <w:sz w:val="20"/>
              </w:rPr>
            </w:pPr>
          </w:p>
          <w:p>
            <w:pPr>
              <w:pStyle w:val="TableParagraph"/>
              <w:spacing w:before="2"/>
              <w:jc w:val="left"/>
              <w:rPr>
                <w:b/>
                <w:sz w:val="16"/>
              </w:rPr>
            </w:pPr>
          </w:p>
          <w:p>
            <w:pPr>
              <w:pStyle w:val="TableParagraph"/>
              <w:ind w:left="115" w:right="119"/>
              <w:rPr>
                <w:b/>
                <w:sz w:val="18"/>
              </w:rPr>
            </w:pPr>
            <w:r>
              <w:rPr>
                <w:b/>
                <w:sz w:val="18"/>
              </w:rPr>
              <w:t>-447,000</w:t>
            </w:r>
          </w:p>
        </w:tc>
        <w:tc>
          <w:tcPr>
            <w:tcW w:w="1078" w:type="dxa"/>
            <w:shd w:val="clear" w:color="auto" w:fill="FFFF00"/>
          </w:tcPr>
          <w:p>
            <w:pPr>
              <w:pStyle w:val="TableParagraph"/>
              <w:jc w:val="left"/>
              <w:rPr>
                <w:b/>
                <w:sz w:val="20"/>
              </w:rPr>
            </w:pPr>
          </w:p>
          <w:p>
            <w:pPr>
              <w:pStyle w:val="TableParagraph"/>
              <w:spacing w:before="2"/>
              <w:jc w:val="left"/>
              <w:rPr>
                <w:b/>
                <w:sz w:val="16"/>
              </w:rPr>
            </w:pPr>
          </w:p>
          <w:p>
            <w:pPr>
              <w:pStyle w:val="TableParagraph"/>
              <w:ind w:left="227"/>
              <w:jc w:val="left"/>
              <w:rPr>
                <w:b/>
                <w:sz w:val="18"/>
              </w:rPr>
            </w:pPr>
            <w:r>
              <w:rPr>
                <w:b/>
                <w:sz w:val="18"/>
              </w:rPr>
              <w:t>14.84%</w:t>
            </w:r>
          </w:p>
        </w:tc>
        <w:tc>
          <w:tcPr>
            <w:tcW w:w="1082" w:type="dxa"/>
          </w:tcPr>
          <w:p>
            <w:pPr>
              <w:pStyle w:val="TableParagraph"/>
              <w:jc w:val="left"/>
              <w:rPr>
                <w:b/>
                <w:sz w:val="20"/>
              </w:rPr>
            </w:pPr>
          </w:p>
          <w:p>
            <w:pPr>
              <w:pStyle w:val="TableParagraph"/>
              <w:spacing w:before="2"/>
              <w:jc w:val="left"/>
              <w:rPr>
                <w:b/>
                <w:sz w:val="16"/>
              </w:rPr>
            </w:pPr>
          </w:p>
          <w:p>
            <w:pPr>
              <w:pStyle w:val="TableParagraph"/>
              <w:ind w:right="195"/>
              <w:jc w:val="right"/>
              <w:rPr>
                <w:b/>
                <w:sz w:val="18"/>
              </w:rPr>
            </w:pPr>
            <w:r>
              <w:rPr>
                <w:b/>
                <w:w w:val="90"/>
                <w:sz w:val="18"/>
              </w:rPr>
              <w:t>18.11%</w:t>
            </w:r>
          </w:p>
        </w:tc>
        <w:tc>
          <w:tcPr>
            <w:tcW w:w="1081" w:type="dxa"/>
          </w:tcPr>
          <w:p>
            <w:pPr>
              <w:pStyle w:val="TableParagraph"/>
              <w:jc w:val="left"/>
              <w:rPr>
                <w:b/>
                <w:sz w:val="20"/>
              </w:rPr>
            </w:pPr>
          </w:p>
          <w:p>
            <w:pPr>
              <w:pStyle w:val="TableParagraph"/>
              <w:spacing w:before="2"/>
              <w:jc w:val="left"/>
              <w:rPr>
                <w:b/>
                <w:sz w:val="16"/>
              </w:rPr>
            </w:pPr>
          </w:p>
          <w:p>
            <w:pPr>
              <w:pStyle w:val="TableParagraph"/>
              <w:ind w:left="227"/>
              <w:jc w:val="left"/>
              <w:rPr>
                <w:b/>
                <w:sz w:val="18"/>
              </w:rPr>
            </w:pPr>
            <w:r>
              <w:rPr>
                <w:b/>
                <w:sz w:val="18"/>
              </w:rPr>
              <w:t>82.12%</w:t>
            </w:r>
          </w:p>
        </w:tc>
      </w:tr>
      <w:tr>
        <w:trPr>
          <w:trHeight w:val="860" w:hRule="atLeast"/>
        </w:trPr>
        <w:tc>
          <w:tcPr>
            <w:tcW w:w="1685" w:type="dxa"/>
            <w:shd w:val="clear" w:color="auto" w:fill="FFFF00"/>
          </w:tcPr>
          <w:p>
            <w:pPr>
              <w:pStyle w:val="TableParagraph"/>
              <w:ind w:left="287" w:right="147" w:hanging="130"/>
              <w:jc w:val="left"/>
              <w:rPr>
                <w:b/>
                <w:sz w:val="18"/>
              </w:rPr>
            </w:pPr>
            <w:r>
              <w:rPr>
                <w:b/>
                <w:sz w:val="18"/>
              </w:rPr>
              <w:t>American Basic Schools LLC</w:t>
            </w:r>
          </w:p>
        </w:tc>
        <w:tc>
          <w:tcPr>
            <w:tcW w:w="1172" w:type="dxa"/>
          </w:tcPr>
          <w:p>
            <w:pPr>
              <w:pStyle w:val="TableParagraph"/>
              <w:spacing w:before="7"/>
              <w:jc w:val="left"/>
              <w:rPr>
                <w:b/>
                <w:sz w:val="17"/>
              </w:rPr>
            </w:pPr>
          </w:p>
          <w:p>
            <w:pPr>
              <w:pStyle w:val="TableParagraph"/>
              <w:ind w:left="118" w:right="100"/>
              <w:rPr>
                <w:b/>
                <w:sz w:val="18"/>
              </w:rPr>
            </w:pPr>
            <w:r>
              <w:rPr>
                <w:b/>
                <w:w w:val="95"/>
                <w:sz w:val="18"/>
              </w:rPr>
              <w:t>$5,687,45 7</w:t>
            </w:r>
          </w:p>
        </w:tc>
        <w:tc>
          <w:tcPr>
            <w:tcW w:w="1171" w:type="dxa"/>
          </w:tcPr>
          <w:p>
            <w:pPr>
              <w:pStyle w:val="TableParagraph"/>
              <w:spacing w:before="7"/>
              <w:jc w:val="left"/>
              <w:rPr>
                <w:b/>
                <w:sz w:val="17"/>
              </w:rPr>
            </w:pPr>
          </w:p>
          <w:p>
            <w:pPr>
              <w:pStyle w:val="TableParagraph"/>
              <w:ind w:left="115" w:right="102"/>
              <w:rPr>
                <w:b/>
                <w:sz w:val="18"/>
              </w:rPr>
            </w:pPr>
            <w:r>
              <w:rPr>
                <w:b/>
                <w:w w:val="95"/>
                <w:sz w:val="18"/>
              </w:rPr>
              <w:t>$5,621,22 5</w:t>
            </w:r>
          </w:p>
        </w:tc>
        <w:tc>
          <w:tcPr>
            <w:tcW w:w="1260" w:type="dxa"/>
            <w:shd w:val="clear" w:color="auto" w:fill="FFFF00"/>
          </w:tcPr>
          <w:p>
            <w:pPr>
              <w:pStyle w:val="TableParagraph"/>
              <w:jc w:val="left"/>
              <w:rPr>
                <w:b/>
                <w:sz w:val="20"/>
              </w:rPr>
            </w:pPr>
          </w:p>
          <w:p>
            <w:pPr>
              <w:pStyle w:val="TableParagraph"/>
              <w:spacing w:before="2"/>
              <w:jc w:val="left"/>
              <w:rPr>
                <w:b/>
                <w:sz w:val="16"/>
              </w:rPr>
            </w:pPr>
          </w:p>
          <w:p>
            <w:pPr>
              <w:pStyle w:val="TableParagraph"/>
              <w:ind w:left="115" w:right="119"/>
              <w:rPr>
                <w:b/>
                <w:sz w:val="18"/>
              </w:rPr>
            </w:pPr>
            <w:r>
              <w:rPr>
                <w:b/>
                <w:sz w:val="18"/>
              </w:rPr>
              <w:t>-$421,654</w:t>
            </w:r>
          </w:p>
        </w:tc>
        <w:tc>
          <w:tcPr>
            <w:tcW w:w="1078" w:type="dxa"/>
          </w:tcPr>
          <w:p>
            <w:pPr>
              <w:pStyle w:val="TableParagraph"/>
              <w:jc w:val="left"/>
              <w:rPr>
                <w:b/>
                <w:sz w:val="20"/>
              </w:rPr>
            </w:pPr>
          </w:p>
          <w:p>
            <w:pPr>
              <w:pStyle w:val="TableParagraph"/>
              <w:spacing w:before="2"/>
              <w:jc w:val="left"/>
              <w:rPr>
                <w:b/>
                <w:sz w:val="16"/>
              </w:rPr>
            </w:pPr>
          </w:p>
          <w:p>
            <w:pPr>
              <w:pStyle w:val="TableParagraph"/>
              <w:ind w:left="278"/>
              <w:jc w:val="left"/>
              <w:rPr>
                <w:b/>
                <w:sz w:val="18"/>
              </w:rPr>
            </w:pPr>
            <w:r>
              <w:rPr>
                <w:b/>
                <w:sz w:val="18"/>
              </w:rPr>
              <w:t>7.41%</w:t>
            </w:r>
          </w:p>
        </w:tc>
        <w:tc>
          <w:tcPr>
            <w:tcW w:w="1082" w:type="dxa"/>
          </w:tcPr>
          <w:p>
            <w:pPr>
              <w:pStyle w:val="TableParagraph"/>
              <w:jc w:val="left"/>
              <w:rPr>
                <w:b/>
                <w:sz w:val="20"/>
              </w:rPr>
            </w:pPr>
          </w:p>
          <w:p>
            <w:pPr>
              <w:pStyle w:val="TableParagraph"/>
              <w:spacing w:before="2"/>
              <w:jc w:val="left"/>
              <w:rPr>
                <w:b/>
                <w:sz w:val="16"/>
              </w:rPr>
            </w:pPr>
          </w:p>
          <w:p>
            <w:pPr>
              <w:pStyle w:val="TableParagraph"/>
              <w:ind w:right="246"/>
              <w:jc w:val="right"/>
              <w:rPr>
                <w:b/>
                <w:sz w:val="18"/>
              </w:rPr>
            </w:pPr>
            <w:r>
              <w:rPr>
                <w:b/>
                <w:sz w:val="18"/>
              </w:rPr>
              <w:t>7.50%</w:t>
            </w:r>
          </w:p>
        </w:tc>
        <w:tc>
          <w:tcPr>
            <w:tcW w:w="1081" w:type="dxa"/>
            <w:shd w:val="clear" w:color="auto" w:fill="FFFF00"/>
          </w:tcPr>
          <w:p>
            <w:pPr>
              <w:pStyle w:val="TableParagraph"/>
              <w:jc w:val="left"/>
              <w:rPr>
                <w:b/>
                <w:sz w:val="20"/>
              </w:rPr>
            </w:pPr>
          </w:p>
          <w:p>
            <w:pPr>
              <w:pStyle w:val="TableParagraph"/>
              <w:spacing w:before="2"/>
              <w:jc w:val="left"/>
              <w:rPr>
                <w:b/>
                <w:sz w:val="16"/>
              </w:rPr>
            </w:pPr>
          </w:p>
          <w:p>
            <w:pPr>
              <w:pStyle w:val="TableParagraph"/>
              <w:ind w:left="177"/>
              <w:jc w:val="left"/>
              <w:rPr>
                <w:b/>
                <w:sz w:val="18"/>
              </w:rPr>
            </w:pPr>
            <w:r>
              <w:rPr>
                <w:b/>
                <w:sz w:val="18"/>
              </w:rPr>
              <w:t>636.63%</w:t>
            </w:r>
          </w:p>
        </w:tc>
      </w:tr>
      <w:tr>
        <w:trPr>
          <w:trHeight w:val="1120" w:hRule="atLeast"/>
        </w:trPr>
        <w:tc>
          <w:tcPr>
            <w:tcW w:w="1685" w:type="dxa"/>
            <w:shd w:val="clear" w:color="auto" w:fill="FFFF00"/>
          </w:tcPr>
          <w:p>
            <w:pPr>
              <w:pStyle w:val="TableParagraph"/>
              <w:ind w:left="153" w:right="157" w:hanging="1"/>
              <w:rPr>
                <w:b/>
                <w:sz w:val="18"/>
              </w:rPr>
            </w:pPr>
            <w:r>
              <w:rPr>
                <w:b/>
                <w:sz w:val="18"/>
              </w:rPr>
              <w:t>Consolidated Report for Rose Academies</w:t>
            </w:r>
          </w:p>
        </w:tc>
        <w:tc>
          <w:tcPr>
            <w:tcW w:w="1172" w:type="dxa"/>
          </w:tcPr>
          <w:p>
            <w:pPr>
              <w:pStyle w:val="TableParagraph"/>
              <w:jc w:val="left"/>
              <w:rPr>
                <w:b/>
                <w:sz w:val="20"/>
              </w:rPr>
            </w:pPr>
          </w:p>
          <w:p>
            <w:pPr>
              <w:pStyle w:val="TableParagraph"/>
              <w:spacing w:before="2"/>
              <w:jc w:val="left"/>
              <w:rPr>
                <w:b/>
                <w:sz w:val="16"/>
              </w:rPr>
            </w:pPr>
          </w:p>
          <w:p>
            <w:pPr>
              <w:pStyle w:val="TableParagraph"/>
              <w:ind w:left="118" w:right="100"/>
              <w:rPr>
                <w:b/>
                <w:sz w:val="18"/>
              </w:rPr>
            </w:pPr>
            <w:r>
              <w:rPr>
                <w:b/>
                <w:w w:val="95"/>
                <w:sz w:val="18"/>
              </w:rPr>
              <w:t>$8,105,34 0</w:t>
            </w:r>
          </w:p>
        </w:tc>
        <w:tc>
          <w:tcPr>
            <w:tcW w:w="1171" w:type="dxa"/>
          </w:tcPr>
          <w:p>
            <w:pPr>
              <w:pStyle w:val="TableParagraph"/>
              <w:jc w:val="left"/>
              <w:rPr>
                <w:b/>
                <w:sz w:val="20"/>
              </w:rPr>
            </w:pPr>
          </w:p>
          <w:p>
            <w:pPr>
              <w:pStyle w:val="TableParagraph"/>
              <w:spacing w:before="2"/>
              <w:jc w:val="left"/>
              <w:rPr>
                <w:b/>
                <w:sz w:val="16"/>
              </w:rPr>
            </w:pPr>
          </w:p>
          <w:p>
            <w:pPr>
              <w:pStyle w:val="TableParagraph"/>
              <w:ind w:left="115" w:right="102"/>
              <w:rPr>
                <w:b/>
                <w:sz w:val="18"/>
              </w:rPr>
            </w:pPr>
            <w:r>
              <w:rPr>
                <w:b/>
                <w:w w:val="95"/>
                <w:sz w:val="18"/>
              </w:rPr>
              <w:t>$8,194,50 3</w:t>
            </w:r>
          </w:p>
        </w:tc>
        <w:tc>
          <w:tcPr>
            <w:tcW w:w="1260" w:type="dxa"/>
            <w:shd w:val="clear" w:color="auto" w:fill="FFFF00"/>
          </w:tcPr>
          <w:p>
            <w:pPr>
              <w:pStyle w:val="TableParagraph"/>
              <w:jc w:val="left"/>
              <w:rPr>
                <w:b/>
                <w:sz w:val="20"/>
              </w:rPr>
            </w:pPr>
          </w:p>
          <w:p>
            <w:pPr>
              <w:pStyle w:val="TableParagraph"/>
              <w:jc w:val="left"/>
              <w:rPr>
                <w:b/>
                <w:sz w:val="20"/>
              </w:rPr>
            </w:pPr>
          </w:p>
          <w:p>
            <w:pPr>
              <w:pStyle w:val="TableParagraph"/>
              <w:spacing w:before="132"/>
              <w:ind w:left="115" w:right="119"/>
              <w:rPr>
                <w:b/>
                <w:sz w:val="18"/>
              </w:rPr>
            </w:pPr>
            <w:r>
              <w:rPr>
                <w:b/>
                <w:sz w:val="18"/>
              </w:rPr>
              <w:t>-$256,941</w:t>
            </w:r>
          </w:p>
        </w:tc>
        <w:tc>
          <w:tcPr>
            <w:tcW w:w="1078" w:type="dxa"/>
          </w:tcPr>
          <w:p>
            <w:pPr>
              <w:pStyle w:val="TableParagraph"/>
              <w:jc w:val="left"/>
              <w:rPr>
                <w:b/>
                <w:sz w:val="20"/>
              </w:rPr>
            </w:pPr>
          </w:p>
          <w:p>
            <w:pPr>
              <w:pStyle w:val="TableParagraph"/>
              <w:jc w:val="left"/>
              <w:rPr>
                <w:b/>
                <w:sz w:val="20"/>
              </w:rPr>
            </w:pPr>
          </w:p>
          <w:p>
            <w:pPr>
              <w:pStyle w:val="TableParagraph"/>
              <w:spacing w:before="132"/>
              <w:ind w:left="278"/>
              <w:jc w:val="left"/>
              <w:rPr>
                <w:b/>
                <w:sz w:val="18"/>
              </w:rPr>
            </w:pPr>
            <w:r>
              <w:rPr>
                <w:b/>
                <w:sz w:val="18"/>
              </w:rPr>
              <w:t>3.17%</w:t>
            </w:r>
          </w:p>
        </w:tc>
        <w:tc>
          <w:tcPr>
            <w:tcW w:w="1082" w:type="dxa"/>
          </w:tcPr>
          <w:p>
            <w:pPr>
              <w:pStyle w:val="TableParagraph"/>
              <w:jc w:val="left"/>
              <w:rPr>
                <w:b/>
                <w:sz w:val="20"/>
              </w:rPr>
            </w:pPr>
          </w:p>
          <w:p>
            <w:pPr>
              <w:pStyle w:val="TableParagraph"/>
              <w:jc w:val="left"/>
              <w:rPr>
                <w:b/>
                <w:sz w:val="20"/>
              </w:rPr>
            </w:pPr>
          </w:p>
          <w:p>
            <w:pPr>
              <w:pStyle w:val="TableParagraph"/>
              <w:spacing w:before="132"/>
              <w:ind w:right="246"/>
              <w:jc w:val="right"/>
              <w:rPr>
                <w:b/>
                <w:sz w:val="18"/>
              </w:rPr>
            </w:pPr>
            <w:r>
              <w:rPr>
                <w:b/>
                <w:sz w:val="18"/>
              </w:rPr>
              <w:t>3.14%</w:t>
            </w:r>
          </w:p>
        </w:tc>
        <w:tc>
          <w:tcPr>
            <w:tcW w:w="1081" w:type="dxa"/>
            <w:shd w:val="clear" w:color="auto" w:fill="FFFF00"/>
          </w:tcPr>
          <w:p>
            <w:pPr>
              <w:pStyle w:val="TableParagraph"/>
              <w:jc w:val="left"/>
              <w:rPr>
                <w:b/>
                <w:sz w:val="20"/>
              </w:rPr>
            </w:pPr>
          </w:p>
          <w:p>
            <w:pPr>
              <w:pStyle w:val="TableParagraph"/>
              <w:jc w:val="left"/>
              <w:rPr>
                <w:b/>
                <w:sz w:val="20"/>
              </w:rPr>
            </w:pPr>
          </w:p>
          <w:p>
            <w:pPr>
              <w:pStyle w:val="TableParagraph"/>
              <w:spacing w:before="132"/>
              <w:ind w:left="177"/>
              <w:jc w:val="left"/>
              <w:rPr>
                <w:b/>
                <w:sz w:val="18"/>
              </w:rPr>
            </w:pPr>
            <w:r>
              <w:rPr>
                <w:b/>
                <w:sz w:val="18"/>
              </w:rPr>
              <w:t>288.17%</w:t>
            </w:r>
          </w:p>
        </w:tc>
      </w:tr>
    </w:tbl>
    <w:p>
      <w:pPr>
        <w:spacing w:before="0"/>
        <w:ind w:left="254" w:right="0" w:firstLine="0"/>
        <w:jc w:val="left"/>
        <w:rPr>
          <w:b/>
          <w:sz w:val="20"/>
        </w:rPr>
      </w:pPr>
      <w:r>
        <w:rPr>
          <w:b/>
          <w:sz w:val="20"/>
        </w:rPr>
        <w:t>(Note: Payouts (distributions) are always negative on financial sheets. The color black is used.)</w:t>
      </w:r>
    </w:p>
    <w:p>
      <w:pPr>
        <w:pStyle w:val="BodyText"/>
        <w:spacing w:before="10"/>
        <w:rPr>
          <w:b/>
          <w:sz w:val="20"/>
        </w:rPr>
      </w:pPr>
    </w:p>
    <w:p>
      <w:pPr>
        <w:spacing w:before="1"/>
        <w:ind w:left="100" w:right="0" w:firstLine="0"/>
        <w:jc w:val="both"/>
        <w:rPr>
          <w:sz w:val="22"/>
        </w:rPr>
      </w:pPr>
      <w:r>
        <w:rPr>
          <w:sz w:val="22"/>
        </w:rPr>
        <w:t>Column A:    </w:t>
      </w:r>
      <w:r>
        <w:rPr>
          <w:spacing w:val="55"/>
          <w:sz w:val="22"/>
        </w:rPr>
        <w:t> </w:t>
      </w:r>
      <w:r>
        <w:rPr>
          <w:sz w:val="22"/>
        </w:rPr>
        <w:t>Corporation</w:t>
      </w:r>
    </w:p>
    <w:p>
      <w:pPr>
        <w:spacing w:after="0"/>
        <w:jc w:val="both"/>
        <w:rPr>
          <w:sz w:val="22"/>
        </w:rPr>
        <w:sectPr>
          <w:pgSz w:w="12240" w:h="15840"/>
          <w:pgMar w:header="740" w:footer="1002" w:top="940" w:bottom="1200" w:left="1340" w:right="1320"/>
        </w:sectPr>
      </w:pPr>
    </w:p>
    <w:p>
      <w:pPr>
        <w:pStyle w:val="BodyText"/>
        <w:rPr>
          <w:sz w:val="20"/>
        </w:rPr>
      </w:pPr>
    </w:p>
    <w:p>
      <w:pPr>
        <w:pStyle w:val="BodyText"/>
        <w:spacing w:before="7"/>
        <w:rPr>
          <w:sz w:val="21"/>
        </w:rPr>
      </w:pPr>
    </w:p>
    <w:p>
      <w:pPr>
        <w:tabs>
          <w:tab w:pos="1657" w:val="left" w:leader="none"/>
        </w:tabs>
        <w:spacing w:line="465" w:lineRule="auto" w:before="0"/>
        <w:ind w:left="218" w:right="6288" w:firstLine="0"/>
        <w:jc w:val="left"/>
        <w:rPr>
          <w:sz w:val="22"/>
        </w:rPr>
      </w:pPr>
      <w:r>
        <w:rPr>
          <w:sz w:val="22"/>
        </w:rPr>
        <w:t>Column</w:t>
      </w:r>
      <w:r>
        <w:rPr>
          <w:spacing w:val="-3"/>
          <w:sz w:val="22"/>
        </w:rPr>
        <w:t> </w:t>
      </w:r>
      <w:r>
        <w:rPr>
          <w:sz w:val="22"/>
        </w:rPr>
        <w:t>B:</w:t>
        <w:tab/>
        <w:t>Revenue for</w:t>
      </w:r>
      <w:r>
        <w:rPr>
          <w:spacing w:val="-8"/>
          <w:sz w:val="22"/>
        </w:rPr>
        <w:t> </w:t>
      </w:r>
      <w:r>
        <w:rPr>
          <w:sz w:val="22"/>
        </w:rPr>
        <w:t>the</w:t>
      </w:r>
      <w:r>
        <w:rPr>
          <w:spacing w:val="-5"/>
          <w:sz w:val="22"/>
        </w:rPr>
        <w:t> </w:t>
      </w:r>
      <w:r>
        <w:rPr>
          <w:sz w:val="22"/>
        </w:rPr>
        <w:t>Year</w:t>
      </w:r>
      <w:r>
        <w:rPr>
          <w:w w:val="100"/>
          <w:sz w:val="22"/>
        </w:rPr>
        <w:t> </w:t>
      </w:r>
      <w:r>
        <w:rPr>
          <w:sz w:val="22"/>
        </w:rPr>
        <w:t>Column</w:t>
      </w:r>
      <w:r>
        <w:rPr>
          <w:spacing w:val="-3"/>
          <w:sz w:val="22"/>
        </w:rPr>
        <w:t> </w:t>
      </w:r>
      <w:r>
        <w:rPr>
          <w:sz w:val="22"/>
        </w:rPr>
        <w:t>C:</w:t>
        <w:tab/>
        <w:t>Expenses for the</w:t>
      </w:r>
      <w:r>
        <w:rPr>
          <w:spacing w:val="-10"/>
          <w:sz w:val="22"/>
        </w:rPr>
        <w:t> </w:t>
      </w:r>
      <w:r>
        <w:rPr>
          <w:sz w:val="22"/>
        </w:rPr>
        <w:t>Year</w:t>
      </w:r>
    </w:p>
    <w:p>
      <w:pPr>
        <w:spacing w:before="10"/>
        <w:ind w:left="220" w:right="0" w:firstLine="0"/>
        <w:jc w:val="both"/>
        <w:rPr>
          <w:sz w:val="22"/>
        </w:rPr>
      </w:pPr>
      <w:r>
        <w:rPr>
          <w:sz w:val="22"/>
        </w:rPr>
        <w:t>Column D:      Shows the distributions paid out at 8 for-profit charters</w:t>
      </w:r>
    </w:p>
    <w:p>
      <w:pPr>
        <w:pStyle w:val="BodyText"/>
        <w:spacing w:before="8"/>
        <w:rPr>
          <w:sz w:val="20"/>
        </w:rPr>
      </w:pPr>
    </w:p>
    <w:p>
      <w:pPr>
        <w:spacing w:before="1"/>
        <w:ind w:left="220" w:right="0" w:firstLine="0"/>
        <w:jc w:val="both"/>
        <w:rPr>
          <w:sz w:val="22"/>
        </w:rPr>
      </w:pPr>
      <w:r>
        <w:rPr>
          <w:sz w:val="22"/>
        </w:rPr>
        <w:t>Column E:      Shows the percentage of the charters' revenue the distribution represents (I.e.</w:t>
      </w:r>
    </w:p>
    <w:p>
      <w:pPr>
        <w:tabs>
          <w:tab w:pos="1660" w:val="left" w:leader="none"/>
        </w:tabs>
        <w:spacing w:line="465" w:lineRule="auto" w:before="35"/>
        <w:ind w:left="220" w:right="1394" w:firstLine="1437"/>
        <w:jc w:val="left"/>
        <w:rPr>
          <w:sz w:val="22"/>
        </w:rPr>
      </w:pPr>
      <w:r>
        <w:rPr>
          <w:sz w:val="22"/>
        </w:rPr>
        <w:t>Example one paid themselves 44.76% of their revenue as distributions) Column</w:t>
      </w:r>
      <w:r>
        <w:rPr>
          <w:spacing w:val="-3"/>
          <w:sz w:val="22"/>
        </w:rPr>
        <w:t> </w:t>
      </w:r>
      <w:r>
        <w:rPr>
          <w:sz w:val="22"/>
        </w:rPr>
        <w:t>F:</w:t>
        <w:tab/>
        <w:t>Shows the percent of expenses represented by the</w:t>
      </w:r>
      <w:r>
        <w:rPr>
          <w:spacing w:val="-40"/>
          <w:sz w:val="22"/>
        </w:rPr>
        <w:t> </w:t>
      </w:r>
      <w:r>
        <w:rPr>
          <w:sz w:val="22"/>
        </w:rPr>
        <w:t>distribution</w:t>
      </w:r>
      <w:r>
        <w:rPr>
          <w:spacing w:val="-7"/>
          <w:sz w:val="22"/>
        </w:rPr>
        <w:t> </w:t>
      </w:r>
      <w:r>
        <w:rPr>
          <w:sz w:val="22"/>
        </w:rPr>
        <w:t>payout</w:t>
      </w:r>
      <w:r>
        <w:rPr>
          <w:w w:val="100"/>
          <w:sz w:val="22"/>
        </w:rPr>
        <w:t> </w:t>
      </w:r>
      <w:r>
        <w:rPr>
          <w:sz w:val="22"/>
        </w:rPr>
        <w:t>Column</w:t>
      </w:r>
      <w:r>
        <w:rPr>
          <w:spacing w:val="-3"/>
          <w:sz w:val="22"/>
        </w:rPr>
        <w:t> </w:t>
      </w:r>
      <w:r>
        <w:rPr>
          <w:sz w:val="22"/>
        </w:rPr>
        <w:t>G:</w:t>
        <w:tab/>
        <w:t>Shows the percentage of the NET for the year represented by the</w:t>
      </w:r>
      <w:r>
        <w:rPr>
          <w:spacing w:val="-50"/>
          <w:sz w:val="22"/>
        </w:rPr>
        <w:t> </w:t>
      </w:r>
      <w:r>
        <w:rPr>
          <w:sz w:val="22"/>
        </w:rPr>
        <w:t>payout</w:t>
      </w:r>
    </w:p>
    <w:p>
      <w:pPr>
        <w:pStyle w:val="BodyText"/>
        <w:spacing w:line="276" w:lineRule="auto" w:before="13"/>
        <w:ind w:left="220" w:right="534"/>
        <w:jc w:val="both"/>
      </w:pPr>
      <w:r>
        <w:rPr/>
        <w:t>Table 6 illustrates that not all for-profits are engaging in similar distributions to shareholders. Accelerated Learning Center from Table 5 is shown below, but both Alan Cochran</w:t>
      </w:r>
      <w:r>
        <w:rPr>
          <w:spacing w:val="-9"/>
        </w:rPr>
        <w:t> </w:t>
      </w:r>
      <w:r>
        <w:rPr/>
        <w:t>Enterprises</w:t>
      </w:r>
      <w:r>
        <w:rPr>
          <w:spacing w:val="-10"/>
        </w:rPr>
        <w:t> </w:t>
      </w:r>
      <w:r>
        <w:rPr/>
        <w:t>and</w:t>
      </w:r>
      <w:r>
        <w:rPr>
          <w:spacing w:val="-9"/>
        </w:rPr>
        <w:t> </w:t>
      </w:r>
      <w:r>
        <w:rPr/>
        <w:t>Bright</w:t>
      </w:r>
      <w:r>
        <w:rPr>
          <w:spacing w:val="-10"/>
        </w:rPr>
        <w:t> </w:t>
      </w:r>
      <w:r>
        <w:rPr/>
        <w:t>Beginnings</w:t>
      </w:r>
      <w:r>
        <w:rPr>
          <w:spacing w:val="-10"/>
        </w:rPr>
        <w:t> </w:t>
      </w:r>
      <w:r>
        <w:rPr/>
        <w:t>School,</w:t>
      </w:r>
      <w:r>
        <w:rPr>
          <w:spacing w:val="-10"/>
        </w:rPr>
        <w:t> </w:t>
      </w:r>
      <w:r>
        <w:rPr/>
        <w:t>Inc.</w:t>
      </w:r>
      <w:r>
        <w:rPr>
          <w:spacing w:val="-10"/>
        </w:rPr>
        <w:t> </w:t>
      </w:r>
      <w:r>
        <w:rPr/>
        <w:t>illustrate</w:t>
      </w:r>
      <w:r>
        <w:rPr>
          <w:spacing w:val="-9"/>
        </w:rPr>
        <w:t> </w:t>
      </w:r>
      <w:r>
        <w:rPr/>
        <w:t>acceptable</w:t>
      </w:r>
      <w:r>
        <w:rPr>
          <w:spacing w:val="-10"/>
        </w:rPr>
        <w:t> </w:t>
      </w:r>
      <w:r>
        <w:rPr/>
        <w:t>stakeholder distributions. Ben Franklin Charter School shows what you should see when the school runs a loss, no distribution to</w:t>
      </w:r>
      <w:r>
        <w:rPr>
          <w:spacing w:val="-40"/>
        </w:rPr>
        <w:t> </w:t>
      </w:r>
      <w:r>
        <w:rPr/>
        <w:t>shareholders.</w:t>
      </w:r>
    </w:p>
    <w:p>
      <w:pPr>
        <w:pStyle w:val="BodyText"/>
        <w:spacing w:before="199" w:after="44"/>
        <w:ind w:left="220"/>
        <w:jc w:val="both"/>
      </w:pPr>
      <w:bookmarkStart w:name="_bookmark51" w:id="52"/>
      <w:bookmarkEnd w:id="52"/>
      <w:r>
        <w:rPr/>
      </w:r>
      <w:r>
        <w:rPr>
          <w:color w:val="4F81BC"/>
        </w:rPr>
        <w:t>Table 6: Sample of For-Profit Charter Distributions</w:t>
      </w: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7"/>
        <w:gridCol w:w="1352"/>
        <w:gridCol w:w="1380"/>
        <w:gridCol w:w="1440"/>
        <w:gridCol w:w="1351"/>
        <w:gridCol w:w="1325"/>
        <w:gridCol w:w="1351"/>
      </w:tblGrid>
      <w:tr>
        <w:trPr>
          <w:trHeight w:val="1000" w:hRule="atLeast"/>
        </w:trPr>
        <w:tc>
          <w:tcPr>
            <w:tcW w:w="1697" w:type="dxa"/>
          </w:tcPr>
          <w:p>
            <w:pPr>
              <w:pStyle w:val="TableParagraph"/>
              <w:spacing w:before="4"/>
              <w:jc w:val="left"/>
              <w:rPr>
                <w:sz w:val="24"/>
              </w:rPr>
            </w:pPr>
          </w:p>
          <w:p>
            <w:pPr>
              <w:pStyle w:val="TableParagraph"/>
              <w:ind w:left="122"/>
              <w:jc w:val="left"/>
              <w:rPr>
                <w:b/>
                <w:sz w:val="18"/>
              </w:rPr>
            </w:pPr>
            <w:r>
              <w:rPr>
                <w:b/>
                <w:sz w:val="18"/>
              </w:rPr>
              <w:t>Charter Holder</w:t>
            </w:r>
          </w:p>
        </w:tc>
        <w:tc>
          <w:tcPr>
            <w:tcW w:w="1352" w:type="dxa"/>
          </w:tcPr>
          <w:p>
            <w:pPr>
              <w:pStyle w:val="TableParagraph"/>
              <w:spacing w:before="5"/>
              <w:jc w:val="left"/>
              <w:rPr>
                <w:sz w:val="17"/>
              </w:rPr>
            </w:pPr>
          </w:p>
          <w:p>
            <w:pPr>
              <w:pStyle w:val="TableParagraph"/>
              <w:spacing w:line="242" w:lineRule="auto"/>
              <w:ind w:left="179" w:right="392" w:firstLine="278"/>
              <w:jc w:val="left"/>
              <w:rPr>
                <w:b/>
                <w:sz w:val="18"/>
              </w:rPr>
            </w:pPr>
            <w:r>
              <w:rPr>
                <w:b/>
                <w:sz w:val="18"/>
              </w:rPr>
              <w:t>Net Revenue</w:t>
            </w:r>
          </w:p>
        </w:tc>
        <w:tc>
          <w:tcPr>
            <w:tcW w:w="1380" w:type="dxa"/>
          </w:tcPr>
          <w:p>
            <w:pPr>
              <w:pStyle w:val="TableParagraph"/>
              <w:spacing w:before="5"/>
              <w:jc w:val="left"/>
              <w:rPr>
                <w:sz w:val="17"/>
              </w:rPr>
            </w:pPr>
          </w:p>
          <w:p>
            <w:pPr>
              <w:pStyle w:val="TableParagraph"/>
              <w:ind w:right="240"/>
              <w:jc w:val="right"/>
              <w:rPr>
                <w:b/>
                <w:sz w:val="18"/>
              </w:rPr>
            </w:pPr>
            <w:r>
              <w:rPr>
                <w:b/>
                <w:sz w:val="18"/>
              </w:rPr>
              <w:t>Distribution</w:t>
            </w:r>
          </w:p>
        </w:tc>
        <w:tc>
          <w:tcPr>
            <w:tcW w:w="1440" w:type="dxa"/>
          </w:tcPr>
          <w:p>
            <w:pPr>
              <w:pStyle w:val="TableParagraph"/>
              <w:spacing w:before="5"/>
              <w:jc w:val="left"/>
              <w:rPr>
                <w:sz w:val="17"/>
              </w:rPr>
            </w:pPr>
          </w:p>
          <w:p>
            <w:pPr>
              <w:pStyle w:val="TableParagraph"/>
              <w:spacing w:line="242" w:lineRule="auto"/>
              <w:ind w:left="244" w:right="396" w:firstLine="2"/>
              <w:jc w:val="left"/>
              <w:rPr>
                <w:b/>
                <w:sz w:val="18"/>
              </w:rPr>
            </w:pPr>
            <w:r>
              <w:rPr>
                <w:b/>
                <w:sz w:val="18"/>
              </w:rPr>
              <w:t>Retained Earnings</w:t>
            </w:r>
          </w:p>
        </w:tc>
        <w:tc>
          <w:tcPr>
            <w:tcW w:w="1351" w:type="dxa"/>
          </w:tcPr>
          <w:p>
            <w:pPr>
              <w:pStyle w:val="TableParagraph"/>
              <w:spacing w:before="5"/>
              <w:jc w:val="left"/>
              <w:rPr>
                <w:sz w:val="17"/>
              </w:rPr>
            </w:pPr>
          </w:p>
          <w:p>
            <w:pPr>
              <w:pStyle w:val="TableParagraph"/>
              <w:spacing w:line="261" w:lineRule="auto"/>
              <w:ind w:left="280" w:hanging="111"/>
              <w:jc w:val="left"/>
              <w:rPr>
                <w:b/>
                <w:sz w:val="18"/>
              </w:rPr>
            </w:pPr>
            <w:r>
              <w:rPr>
                <w:b/>
                <w:sz w:val="18"/>
              </w:rPr>
              <w:t>Distribution as a % of Revenue</w:t>
            </w:r>
          </w:p>
        </w:tc>
        <w:tc>
          <w:tcPr>
            <w:tcW w:w="1325" w:type="dxa"/>
          </w:tcPr>
          <w:p>
            <w:pPr>
              <w:pStyle w:val="TableParagraph"/>
              <w:spacing w:before="5"/>
              <w:jc w:val="left"/>
              <w:rPr>
                <w:sz w:val="17"/>
              </w:rPr>
            </w:pPr>
          </w:p>
          <w:p>
            <w:pPr>
              <w:pStyle w:val="TableParagraph"/>
              <w:spacing w:line="261" w:lineRule="auto"/>
              <w:ind w:left="133" w:right="135"/>
              <w:rPr>
                <w:b/>
                <w:sz w:val="18"/>
              </w:rPr>
            </w:pPr>
            <w:r>
              <w:rPr>
                <w:b/>
                <w:sz w:val="18"/>
              </w:rPr>
              <w:t>Distribution as a % of Expenses</w:t>
            </w:r>
          </w:p>
        </w:tc>
        <w:tc>
          <w:tcPr>
            <w:tcW w:w="1351" w:type="dxa"/>
          </w:tcPr>
          <w:p>
            <w:pPr>
              <w:pStyle w:val="TableParagraph"/>
              <w:jc w:val="left"/>
              <w:rPr>
                <w:sz w:val="18"/>
              </w:rPr>
            </w:pPr>
          </w:p>
          <w:p>
            <w:pPr>
              <w:pStyle w:val="TableParagraph"/>
              <w:spacing w:line="242" w:lineRule="auto"/>
              <w:ind w:left="165" w:right="161"/>
              <w:rPr>
                <w:b/>
                <w:sz w:val="18"/>
              </w:rPr>
            </w:pPr>
            <w:r>
              <w:rPr>
                <w:b/>
                <w:sz w:val="18"/>
              </w:rPr>
              <w:t>Distribution as a %</w:t>
            </w:r>
          </w:p>
          <w:p>
            <w:pPr>
              <w:pStyle w:val="TableParagraph"/>
              <w:spacing w:before="25"/>
              <w:ind w:left="161" w:right="161"/>
              <w:rPr>
                <w:b/>
                <w:sz w:val="18"/>
              </w:rPr>
            </w:pPr>
            <w:r>
              <w:rPr>
                <w:b/>
                <w:sz w:val="18"/>
              </w:rPr>
              <w:t>of Net</w:t>
            </w:r>
          </w:p>
        </w:tc>
      </w:tr>
      <w:tr>
        <w:trPr>
          <w:trHeight w:val="760" w:hRule="atLeast"/>
        </w:trPr>
        <w:tc>
          <w:tcPr>
            <w:tcW w:w="1697" w:type="dxa"/>
            <w:shd w:val="clear" w:color="auto" w:fill="FFFF00"/>
          </w:tcPr>
          <w:p>
            <w:pPr>
              <w:pStyle w:val="TableParagraph"/>
              <w:spacing w:before="30"/>
              <w:ind w:left="313" w:right="312"/>
              <w:rPr>
                <w:b/>
                <w:sz w:val="18"/>
              </w:rPr>
            </w:pPr>
            <w:r>
              <w:rPr>
                <w:b/>
                <w:sz w:val="18"/>
              </w:rPr>
              <w:t>Accelerated</w:t>
            </w:r>
          </w:p>
          <w:p>
            <w:pPr>
              <w:pStyle w:val="TableParagraph"/>
              <w:spacing w:line="250" w:lineRule="atLeast" w:before="4"/>
              <w:ind w:left="313" w:right="309"/>
              <w:rPr>
                <w:b/>
                <w:sz w:val="18"/>
              </w:rPr>
            </w:pPr>
            <w:r>
              <w:rPr>
                <w:b/>
                <w:sz w:val="18"/>
              </w:rPr>
              <w:t>Learning Center</w:t>
            </w:r>
          </w:p>
        </w:tc>
        <w:tc>
          <w:tcPr>
            <w:tcW w:w="1352" w:type="dxa"/>
          </w:tcPr>
          <w:p>
            <w:pPr>
              <w:pStyle w:val="TableParagraph"/>
              <w:jc w:val="left"/>
              <w:rPr>
                <w:sz w:val="20"/>
              </w:rPr>
            </w:pPr>
          </w:p>
          <w:p>
            <w:pPr>
              <w:pStyle w:val="TableParagraph"/>
              <w:spacing w:before="3"/>
              <w:jc w:val="left"/>
              <w:rPr>
                <w:sz w:val="17"/>
              </w:rPr>
            </w:pPr>
          </w:p>
          <w:p>
            <w:pPr>
              <w:pStyle w:val="TableParagraph"/>
              <w:ind w:left="267" w:right="263"/>
              <w:rPr>
                <w:b/>
                <w:sz w:val="18"/>
              </w:rPr>
            </w:pPr>
            <w:r>
              <w:rPr>
                <w:b/>
                <w:sz w:val="18"/>
              </w:rPr>
              <w:t>$417,164</w:t>
            </w:r>
          </w:p>
        </w:tc>
        <w:tc>
          <w:tcPr>
            <w:tcW w:w="1380" w:type="dxa"/>
          </w:tcPr>
          <w:p>
            <w:pPr>
              <w:pStyle w:val="TableParagraph"/>
              <w:jc w:val="left"/>
              <w:rPr>
                <w:sz w:val="18"/>
              </w:rPr>
            </w:pPr>
          </w:p>
          <w:p>
            <w:pPr>
              <w:pStyle w:val="TableParagraph"/>
              <w:ind w:right="277"/>
              <w:jc w:val="right"/>
              <w:rPr>
                <w:b/>
                <w:sz w:val="18"/>
              </w:rPr>
            </w:pPr>
            <w:r>
              <w:rPr>
                <w:b/>
                <w:sz w:val="18"/>
              </w:rPr>
              <w:t>-$382,400</w:t>
            </w:r>
          </w:p>
        </w:tc>
        <w:tc>
          <w:tcPr>
            <w:tcW w:w="1440" w:type="dxa"/>
          </w:tcPr>
          <w:p>
            <w:pPr>
              <w:pStyle w:val="TableParagraph"/>
              <w:jc w:val="left"/>
              <w:rPr>
                <w:sz w:val="18"/>
              </w:rPr>
            </w:pPr>
          </w:p>
          <w:p>
            <w:pPr>
              <w:pStyle w:val="TableParagraph"/>
              <w:ind w:left="244" w:right="244"/>
              <w:rPr>
                <w:b/>
                <w:sz w:val="18"/>
              </w:rPr>
            </w:pPr>
            <w:r>
              <w:rPr>
                <w:b/>
                <w:sz w:val="18"/>
              </w:rPr>
              <w:t>$288,592</w:t>
            </w:r>
          </w:p>
        </w:tc>
        <w:tc>
          <w:tcPr>
            <w:tcW w:w="1351" w:type="dxa"/>
            <w:shd w:val="clear" w:color="auto" w:fill="FFFF00"/>
          </w:tcPr>
          <w:p>
            <w:pPr>
              <w:pStyle w:val="TableParagraph"/>
              <w:jc w:val="left"/>
              <w:rPr>
                <w:sz w:val="18"/>
              </w:rPr>
            </w:pPr>
          </w:p>
          <w:p>
            <w:pPr>
              <w:pStyle w:val="TableParagraph"/>
              <w:ind w:left="161" w:right="161"/>
              <w:rPr>
                <w:b/>
                <w:sz w:val="18"/>
              </w:rPr>
            </w:pPr>
            <w:r>
              <w:rPr>
                <w:b/>
                <w:sz w:val="18"/>
              </w:rPr>
              <w:t>24.80%</w:t>
            </w:r>
          </w:p>
        </w:tc>
        <w:tc>
          <w:tcPr>
            <w:tcW w:w="1325" w:type="dxa"/>
          </w:tcPr>
          <w:p>
            <w:pPr>
              <w:pStyle w:val="TableParagraph"/>
              <w:jc w:val="left"/>
              <w:rPr>
                <w:sz w:val="18"/>
              </w:rPr>
            </w:pPr>
          </w:p>
          <w:p>
            <w:pPr>
              <w:pStyle w:val="TableParagraph"/>
              <w:ind w:left="133" w:right="131"/>
              <w:rPr>
                <w:b/>
                <w:sz w:val="18"/>
              </w:rPr>
            </w:pPr>
            <w:r>
              <w:rPr>
                <w:b/>
                <w:sz w:val="18"/>
              </w:rPr>
              <w:t>34.00%</w:t>
            </w:r>
          </w:p>
        </w:tc>
        <w:tc>
          <w:tcPr>
            <w:tcW w:w="1351" w:type="dxa"/>
          </w:tcPr>
          <w:p>
            <w:pPr>
              <w:pStyle w:val="TableParagraph"/>
              <w:jc w:val="left"/>
              <w:rPr>
                <w:sz w:val="18"/>
              </w:rPr>
            </w:pPr>
          </w:p>
          <w:p>
            <w:pPr>
              <w:pStyle w:val="TableParagraph"/>
              <w:ind w:left="161" w:right="161"/>
              <w:rPr>
                <w:b/>
                <w:sz w:val="18"/>
              </w:rPr>
            </w:pPr>
            <w:r>
              <w:rPr>
                <w:b/>
                <w:sz w:val="18"/>
              </w:rPr>
              <w:t>91.67%</w:t>
            </w:r>
          </w:p>
        </w:tc>
      </w:tr>
      <w:tr>
        <w:trPr>
          <w:trHeight w:val="520" w:hRule="atLeast"/>
        </w:trPr>
        <w:tc>
          <w:tcPr>
            <w:tcW w:w="1697" w:type="dxa"/>
            <w:shd w:val="clear" w:color="auto" w:fill="92D050"/>
          </w:tcPr>
          <w:p>
            <w:pPr>
              <w:pStyle w:val="TableParagraph"/>
              <w:ind w:left="288" w:right="322" w:hanging="113"/>
              <w:jc w:val="left"/>
              <w:rPr>
                <w:b/>
                <w:sz w:val="18"/>
              </w:rPr>
            </w:pPr>
            <w:r>
              <w:rPr>
                <w:b/>
                <w:sz w:val="18"/>
              </w:rPr>
              <w:t>Alan Cochran Enterprises</w:t>
            </w:r>
          </w:p>
        </w:tc>
        <w:tc>
          <w:tcPr>
            <w:tcW w:w="1352" w:type="dxa"/>
            <w:shd w:val="clear" w:color="auto" w:fill="92D050"/>
          </w:tcPr>
          <w:p>
            <w:pPr>
              <w:pStyle w:val="TableParagraph"/>
              <w:spacing w:before="2"/>
              <w:jc w:val="left"/>
              <w:rPr>
                <w:sz w:val="21"/>
              </w:rPr>
            </w:pPr>
          </w:p>
          <w:p>
            <w:pPr>
              <w:pStyle w:val="TableParagraph"/>
              <w:ind w:left="267" w:right="263"/>
              <w:rPr>
                <w:b/>
                <w:sz w:val="18"/>
              </w:rPr>
            </w:pPr>
            <w:r>
              <w:rPr>
                <w:b/>
                <w:sz w:val="18"/>
              </w:rPr>
              <w:t>$332,668</w:t>
            </w:r>
          </w:p>
        </w:tc>
        <w:tc>
          <w:tcPr>
            <w:tcW w:w="1380" w:type="dxa"/>
            <w:shd w:val="clear" w:color="auto" w:fill="92D050"/>
          </w:tcPr>
          <w:p>
            <w:pPr>
              <w:pStyle w:val="TableParagraph"/>
              <w:spacing w:before="2"/>
              <w:jc w:val="left"/>
              <w:rPr>
                <w:sz w:val="21"/>
              </w:rPr>
            </w:pPr>
          </w:p>
          <w:p>
            <w:pPr>
              <w:pStyle w:val="TableParagraph"/>
              <w:ind w:right="277"/>
              <w:jc w:val="right"/>
              <w:rPr>
                <w:b/>
                <w:sz w:val="18"/>
              </w:rPr>
            </w:pPr>
            <w:r>
              <w:rPr>
                <w:b/>
                <w:sz w:val="18"/>
              </w:rPr>
              <w:t>-$194,485</w:t>
            </w:r>
          </w:p>
        </w:tc>
        <w:tc>
          <w:tcPr>
            <w:tcW w:w="1440" w:type="dxa"/>
            <w:shd w:val="clear" w:color="auto" w:fill="92D050"/>
          </w:tcPr>
          <w:p>
            <w:pPr>
              <w:pStyle w:val="TableParagraph"/>
              <w:spacing w:before="2"/>
              <w:jc w:val="left"/>
              <w:rPr>
                <w:sz w:val="21"/>
              </w:rPr>
            </w:pPr>
          </w:p>
          <w:p>
            <w:pPr>
              <w:pStyle w:val="TableParagraph"/>
              <w:ind w:left="244" w:right="244"/>
              <w:rPr>
                <w:b/>
                <w:sz w:val="18"/>
              </w:rPr>
            </w:pPr>
            <w:r>
              <w:rPr>
                <w:b/>
                <w:sz w:val="18"/>
              </w:rPr>
              <w:t>$537,073</w:t>
            </w:r>
          </w:p>
        </w:tc>
        <w:tc>
          <w:tcPr>
            <w:tcW w:w="1351" w:type="dxa"/>
            <w:shd w:val="clear" w:color="auto" w:fill="92D050"/>
          </w:tcPr>
          <w:p>
            <w:pPr>
              <w:pStyle w:val="TableParagraph"/>
              <w:spacing w:before="2"/>
              <w:jc w:val="left"/>
              <w:rPr>
                <w:sz w:val="21"/>
              </w:rPr>
            </w:pPr>
          </w:p>
          <w:p>
            <w:pPr>
              <w:pStyle w:val="TableParagraph"/>
              <w:ind w:left="164" w:right="161"/>
              <w:rPr>
                <w:b/>
                <w:sz w:val="18"/>
              </w:rPr>
            </w:pPr>
            <w:r>
              <w:rPr>
                <w:b/>
                <w:sz w:val="18"/>
              </w:rPr>
              <w:t>7.53%</w:t>
            </w:r>
          </w:p>
        </w:tc>
        <w:tc>
          <w:tcPr>
            <w:tcW w:w="1325" w:type="dxa"/>
            <w:shd w:val="clear" w:color="auto" w:fill="92D050"/>
          </w:tcPr>
          <w:p>
            <w:pPr>
              <w:pStyle w:val="TableParagraph"/>
              <w:spacing w:before="2"/>
              <w:jc w:val="left"/>
              <w:rPr>
                <w:sz w:val="21"/>
              </w:rPr>
            </w:pPr>
          </w:p>
          <w:p>
            <w:pPr>
              <w:pStyle w:val="TableParagraph"/>
              <w:ind w:left="133" w:right="133"/>
              <w:rPr>
                <w:b/>
                <w:sz w:val="18"/>
              </w:rPr>
            </w:pPr>
            <w:r>
              <w:rPr>
                <w:b/>
                <w:sz w:val="18"/>
              </w:rPr>
              <w:t>8.64%</w:t>
            </w:r>
          </w:p>
        </w:tc>
        <w:tc>
          <w:tcPr>
            <w:tcW w:w="1351" w:type="dxa"/>
            <w:shd w:val="clear" w:color="auto" w:fill="92D050"/>
          </w:tcPr>
          <w:p>
            <w:pPr>
              <w:pStyle w:val="TableParagraph"/>
              <w:spacing w:before="2"/>
              <w:jc w:val="left"/>
              <w:rPr>
                <w:sz w:val="21"/>
              </w:rPr>
            </w:pPr>
          </w:p>
          <w:p>
            <w:pPr>
              <w:pStyle w:val="TableParagraph"/>
              <w:ind w:left="161" w:right="161"/>
              <w:rPr>
                <w:b/>
                <w:sz w:val="18"/>
              </w:rPr>
            </w:pPr>
            <w:r>
              <w:rPr>
                <w:b/>
                <w:sz w:val="18"/>
              </w:rPr>
              <w:t>58.30%</w:t>
            </w:r>
          </w:p>
        </w:tc>
      </w:tr>
      <w:tr>
        <w:trPr>
          <w:trHeight w:val="740" w:hRule="atLeast"/>
        </w:trPr>
        <w:tc>
          <w:tcPr>
            <w:tcW w:w="1697" w:type="dxa"/>
          </w:tcPr>
          <w:p>
            <w:pPr>
              <w:pStyle w:val="TableParagraph"/>
              <w:spacing w:line="259" w:lineRule="auto"/>
              <w:ind w:left="509" w:right="277" w:hanging="209"/>
              <w:jc w:val="left"/>
              <w:rPr>
                <w:b/>
                <w:sz w:val="18"/>
              </w:rPr>
            </w:pPr>
            <w:r>
              <w:rPr>
                <w:b/>
                <w:sz w:val="18"/>
              </w:rPr>
              <w:t>Ben Franklin Charter School*</w:t>
            </w:r>
          </w:p>
        </w:tc>
        <w:tc>
          <w:tcPr>
            <w:tcW w:w="1352" w:type="dxa"/>
          </w:tcPr>
          <w:p>
            <w:pPr>
              <w:pStyle w:val="TableParagraph"/>
              <w:jc w:val="left"/>
              <w:rPr>
                <w:sz w:val="20"/>
              </w:rPr>
            </w:pPr>
          </w:p>
          <w:p>
            <w:pPr>
              <w:pStyle w:val="TableParagraph"/>
              <w:spacing w:before="9"/>
              <w:jc w:val="left"/>
              <w:rPr>
                <w:sz w:val="16"/>
              </w:rPr>
            </w:pPr>
          </w:p>
          <w:p>
            <w:pPr>
              <w:pStyle w:val="TableParagraph"/>
              <w:ind w:left="268" w:right="263"/>
              <w:rPr>
                <w:b/>
                <w:sz w:val="18"/>
              </w:rPr>
            </w:pPr>
            <w:r>
              <w:rPr>
                <w:b/>
                <w:color w:val="FF0000"/>
                <w:sz w:val="18"/>
              </w:rPr>
              <w:t>($88,304)</w:t>
            </w:r>
          </w:p>
        </w:tc>
        <w:tc>
          <w:tcPr>
            <w:tcW w:w="1380" w:type="dxa"/>
          </w:tcPr>
          <w:p>
            <w:pPr>
              <w:pStyle w:val="TableParagraph"/>
              <w:jc w:val="left"/>
              <w:rPr>
                <w:sz w:val="18"/>
              </w:rPr>
            </w:pPr>
          </w:p>
          <w:p>
            <w:pPr>
              <w:pStyle w:val="TableParagraph"/>
              <w:ind w:left="564" w:right="564"/>
              <w:rPr>
                <w:b/>
                <w:sz w:val="18"/>
              </w:rPr>
            </w:pPr>
            <w:r>
              <w:rPr>
                <w:b/>
                <w:sz w:val="18"/>
              </w:rPr>
              <w:t>$0</w:t>
            </w:r>
          </w:p>
        </w:tc>
        <w:tc>
          <w:tcPr>
            <w:tcW w:w="1440" w:type="dxa"/>
          </w:tcPr>
          <w:p>
            <w:pPr>
              <w:pStyle w:val="TableParagraph"/>
              <w:jc w:val="left"/>
              <w:rPr>
                <w:sz w:val="18"/>
              </w:rPr>
            </w:pPr>
          </w:p>
          <w:p>
            <w:pPr>
              <w:pStyle w:val="TableParagraph"/>
              <w:ind w:left="244" w:right="245"/>
              <w:rPr>
                <w:b/>
                <w:sz w:val="18"/>
              </w:rPr>
            </w:pPr>
            <w:r>
              <w:rPr>
                <w:b/>
                <w:sz w:val="18"/>
              </w:rPr>
              <w:t>$4,451,920</w:t>
            </w:r>
          </w:p>
        </w:tc>
        <w:tc>
          <w:tcPr>
            <w:tcW w:w="1351" w:type="dxa"/>
          </w:tcPr>
          <w:p>
            <w:pPr>
              <w:pStyle w:val="TableParagraph"/>
              <w:jc w:val="left"/>
              <w:rPr>
                <w:sz w:val="20"/>
              </w:rPr>
            </w:pPr>
          </w:p>
          <w:p>
            <w:pPr>
              <w:pStyle w:val="TableParagraph"/>
              <w:spacing w:before="9"/>
              <w:jc w:val="left"/>
              <w:rPr>
                <w:sz w:val="16"/>
              </w:rPr>
            </w:pPr>
          </w:p>
          <w:p>
            <w:pPr>
              <w:pStyle w:val="TableParagraph"/>
              <w:ind w:left="165" w:right="161"/>
              <w:rPr>
                <w:b/>
                <w:sz w:val="18"/>
              </w:rPr>
            </w:pPr>
            <w:r>
              <w:rPr>
                <w:b/>
                <w:sz w:val="18"/>
              </w:rPr>
              <w:t>0%</w:t>
            </w:r>
          </w:p>
        </w:tc>
        <w:tc>
          <w:tcPr>
            <w:tcW w:w="1325" w:type="dxa"/>
          </w:tcPr>
          <w:p>
            <w:pPr>
              <w:pStyle w:val="TableParagraph"/>
              <w:jc w:val="left"/>
              <w:rPr>
                <w:sz w:val="20"/>
              </w:rPr>
            </w:pPr>
          </w:p>
          <w:p>
            <w:pPr>
              <w:pStyle w:val="TableParagraph"/>
              <w:spacing w:before="9"/>
              <w:jc w:val="left"/>
              <w:rPr>
                <w:sz w:val="16"/>
              </w:rPr>
            </w:pPr>
          </w:p>
          <w:p>
            <w:pPr>
              <w:pStyle w:val="TableParagraph"/>
              <w:ind w:left="133" w:right="127"/>
              <w:rPr>
                <w:b/>
                <w:sz w:val="18"/>
              </w:rPr>
            </w:pPr>
            <w:r>
              <w:rPr>
                <w:b/>
                <w:sz w:val="18"/>
              </w:rPr>
              <w:t>0%</w:t>
            </w:r>
          </w:p>
        </w:tc>
        <w:tc>
          <w:tcPr>
            <w:tcW w:w="1351" w:type="dxa"/>
          </w:tcPr>
          <w:p>
            <w:pPr>
              <w:pStyle w:val="TableParagraph"/>
              <w:jc w:val="left"/>
              <w:rPr>
                <w:sz w:val="20"/>
              </w:rPr>
            </w:pPr>
          </w:p>
          <w:p>
            <w:pPr>
              <w:pStyle w:val="TableParagraph"/>
              <w:spacing w:before="9"/>
              <w:jc w:val="left"/>
              <w:rPr>
                <w:sz w:val="16"/>
              </w:rPr>
            </w:pPr>
          </w:p>
          <w:p>
            <w:pPr>
              <w:pStyle w:val="TableParagraph"/>
              <w:ind w:left="165" w:right="161"/>
              <w:rPr>
                <w:b/>
                <w:sz w:val="18"/>
              </w:rPr>
            </w:pPr>
            <w:r>
              <w:rPr>
                <w:b/>
                <w:sz w:val="18"/>
              </w:rPr>
              <w:t>0%</w:t>
            </w:r>
          </w:p>
        </w:tc>
      </w:tr>
      <w:tr>
        <w:trPr>
          <w:trHeight w:val="800" w:hRule="atLeast"/>
        </w:trPr>
        <w:tc>
          <w:tcPr>
            <w:tcW w:w="1697" w:type="dxa"/>
            <w:shd w:val="clear" w:color="auto" w:fill="92D050"/>
          </w:tcPr>
          <w:p>
            <w:pPr>
              <w:pStyle w:val="TableParagraph"/>
              <w:ind w:left="276" w:right="381" w:firstLine="290"/>
              <w:jc w:val="left"/>
              <w:rPr>
                <w:b/>
                <w:sz w:val="18"/>
              </w:rPr>
            </w:pPr>
            <w:r>
              <w:rPr>
                <w:b/>
                <w:sz w:val="18"/>
              </w:rPr>
              <w:t>Bright Beginnings School, Inc.</w:t>
            </w:r>
          </w:p>
        </w:tc>
        <w:tc>
          <w:tcPr>
            <w:tcW w:w="1352" w:type="dxa"/>
            <w:shd w:val="clear" w:color="auto" w:fill="92D050"/>
          </w:tcPr>
          <w:p>
            <w:pPr>
              <w:pStyle w:val="TableParagraph"/>
              <w:jc w:val="left"/>
              <w:rPr>
                <w:rFonts w:ascii="Times New Roman"/>
                <w:sz w:val="20"/>
              </w:rPr>
            </w:pPr>
          </w:p>
        </w:tc>
        <w:tc>
          <w:tcPr>
            <w:tcW w:w="1380" w:type="dxa"/>
            <w:shd w:val="clear" w:color="auto" w:fill="92D050"/>
          </w:tcPr>
          <w:p>
            <w:pPr>
              <w:pStyle w:val="TableParagraph"/>
              <w:jc w:val="left"/>
              <w:rPr>
                <w:sz w:val="20"/>
              </w:rPr>
            </w:pPr>
          </w:p>
          <w:p>
            <w:pPr>
              <w:pStyle w:val="TableParagraph"/>
              <w:spacing w:before="1"/>
              <w:jc w:val="left"/>
              <w:rPr>
                <w:sz w:val="20"/>
              </w:rPr>
            </w:pPr>
          </w:p>
          <w:p>
            <w:pPr>
              <w:pStyle w:val="TableParagraph"/>
              <w:ind w:right="327"/>
              <w:jc w:val="right"/>
              <w:rPr>
                <w:b/>
                <w:sz w:val="18"/>
              </w:rPr>
            </w:pPr>
            <w:r>
              <w:rPr>
                <w:b/>
                <w:sz w:val="18"/>
              </w:rPr>
              <w:t>-$31,000</w:t>
            </w:r>
          </w:p>
        </w:tc>
        <w:tc>
          <w:tcPr>
            <w:tcW w:w="1440" w:type="dxa"/>
            <w:shd w:val="clear" w:color="auto" w:fill="92D050"/>
          </w:tcPr>
          <w:p>
            <w:pPr>
              <w:pStyle w:val="TableParagraph"/>
              <w:jc w:val="left"/>
              <w:rPr>
                <w:sz w:val="20"/>
              </w:rPr>
            </w:pPr>
          </w:p>
          <w:p>
            <w:pPr>
              <w:pStyle w:val="TableParagraph"/>
              <w:spacing w:before="1"/>
              <w:jc w:val="left"/>
              <w:rPr>
                <w:sz w:val="20"/>
              </w:rPr>
            </w:pPr>
          </w:p>
          <w:p>
            <w:pPr>
              <w:pStyle w:val="TableParagraph"/>
              <w:ind w:left="244" w:right="244"/>
              <w:rPr>
                <w:b/>
                <w:sz w:val="18"/>
              </w:rPr>
            </w:pPr>
            <w:r>
              <w:rPr>
                <w:b/>
                <w:sz w:val="18"/>
              </w:rPr>
              <w:t>$654,668</w:t>
            </w:r>
          </w:p>
        </w:tc>
        <w:tc>
          <w:tcPr>
            <w:tcW w:w="1351" w:type="dxa"/>
            <w:shd w:val="clear" w:color="auto" w:fill="92D050"/>
          </w:tcPr>
          <w:p>
            <w:pPr>
              <w:pStyle w:val="TableParagraph"/>
              <w:jc w:val="left"/>
              <w:rPr>
                <w:sz w:val="20"/>
              </w:rPr>
            </w:pPr>
          </w:p>
          <w:p>
            <w:pPr>
              <w:pStyle w:val="TableParagraph"/>
              <w:spacing w:before="1"/>
              <w:jc w:val="left"/>
              <w:rPr>
                <w:sz w:val="20"/>
              </w:rPr>
            </w:pPr>
          </w:p>
          <w:p>
            <w:pPr>
              <w:pStyle w:val="TableParagraph"/>
              <w:ind w:left="164" w:right="161"/>
              <w:rPr>
                <w:b/>
                <w:sz w:val="18"/>
              </w:rPr>
            </w:pPr>
            <w:r>
              <w:rPr>
                <w:b/>
                <w:sz w:val="18"/>
              </w:rPr>
              <w:t>1.09%</w:t>
            </w:r>
          </w:p>
        </w:tc>
        <w:tc>
          <w:tcPr>
            <w:tcW w:w="1325" w:type="dxa"/>
            <w:shd w:val="clear" w:color="auto" w:fill="92D050"/>
          </w:tcPr>
          <w:p>
            <w:pPr>
              <w:pStyle w:val="TableParagraph"/>
              <w:jc w:val="left"/>
              <w:rPr>
                <w:sz w:val="20"/>
              </w:rPr>
            </w:pPr>
          </w:p>
          <w:p>
            <w:pPr>
              <w:pStyle w:val="TableParagraph"/>
              <w:spacing w:before="1"/>
              <w:jc w:val="left"/>
              <w:rPr>
                <w:sz w:val="20"/>
              </w:rPr>
            </w:pPr>
          </w:p>
          <w:p>
            <w:pPr>
              <w:pStyle w:val="TableParagraph"/>
              <w:ind w:left="133" w:right="133"/>
              <w:rPr>
                <w:b/>
                <w:sz w:val="18"/>
              </w:rPr>
            </w:pPr>
            <w:r>
              <w:rPr>
                <w:b/>
                <w:sz w:val="18"/>
              </w:rPr>
              <w:t>1.13%</w:t>
            </w:r>
          </w:p>
        </w:tc>
        <w:tc>
          <w:tcPr>
            <w:tcW w:w="1351" w:type="dxa"/>
            <w:shd w:val="clear" w:color="auto" w:fill="92D050"/>
          </w:tcPr>
          <w:p>
            <w:pPr>
              <w:pStyle w:val="TableParagraph"/>
              <w:jc w:val="left"/>
              <w:rPr>
                <w:sz w:val="20"/>
              </w:rPr>
            </w:pPr>
          </w:p>
          <w:p>
            <w:pPr>
              <w:pStyle w:val="TableParagraph"/>
              <w:spacing w:before="1"/>
              <w:jc w:val="left"/>
              <w:rPr>
                <w:sz w:val="20"/>
              </w:rPr>
            </w:pPr>
          </w:p>
          <w:p>
            <w:pPr>
              <w:pStyle w:val="TableParagraph"/>
              <w:ind w:left="161" w:right="161"/>
              <w:rPr>
                <w:b/>
                <w:sz w:val="18"/>
              </w:rPr>
            </w:pPr>
            <w:r>
              <w:rPr>
                <w:b/>
                <w:sz w:val="18"/>
              </w:rPr>
              <w:t>28.90%</w:t>
            </w:r>
          </w:p>
        </w:tc>
      </w:tr>
    </w:tbl>
    <w:p>
      <w:pPr>
        <w:spacing w:before="0"/>
        <w:ind w:left="220" w:right="0" w:firstLine="0"/>
        <w:jc w:val="both"/>
        <w:rPr>
          <w:sz w:val="22"/>
        </w:rPr>
      </w:pPr>
      <w:r>
        <w:rPr>
          <w:sz w:val="22"/>
        </w:rPr>
        <w:t>Benjamin Franklin School Net is from the AFR and audit for FY 2014-2015.</w:t>
      </w:r>
    </w:p>
    <w:p>
      <w:pPr>
        <w:pStyle w:val="BodyText"/>
        <w:spacing w:before="4"/>
        <w:rPr>
          <w:sz w:val="20"/>
        </w:rPr>
      </w:pPr>
    </w:p>
    <w:p>
      <w:pPr>
        <w:spacing w:before="0"/>
        <w:ind w:left="220" w:right="0" w:firstLine="0"/>
        <w:jc w:val="both"/>
        <w:rPr>
          <w:sz w:val="22"/>
        </w:rPr>
      </w:pPr>
      <w:r>
        <w:rPr>
          <w:b/>
          <w:sz w:val="22"/>
        </w:rPr>
        <w:t>Note on Benjamin Franklin figures</w:t>
      </w:r>
      <w:r>
        <w:rPr>
          <w:sz w:val="22"/>
        </w:rPr>
        <w:t>: The Net from the Audit for the same year showed (-</w:t>
      </w:r>
    </w:p>
    <w:p>
      <w:pPr>
        <w:spacing w:line="276" w:lineRule="auto" w:before="42"/>
        <w:ind w:left="218" w:right="530" w:firstLine="0"/>
        <w:jc w:val="both"/>
        <w:rPr>
          <w:sz w:val="22"/>
        </w:rPr>
      </w:pPr>
      <w:r>
        <w:rPr>
          <w:sz w:val="22"/>
        </w:rPr>
        <w:t>$2,123,796) which included a provision for taxes ($1,325,796) and a loss that was attributed to a non-controlling interest of (-$709,804). Net Income Attributable to the charter was listed as (-</w:t>
      </w:r>
    </w:p>
    <w:p>
      <w:pPr>
        <w:spacing w:line="276" w:lineRule="auto" w:before="3"/>
        <w:ind w:left="220" w:right="533" w:firstLine="0"/>
        <w:jc w:val="both"/>
        <w:rPr>
          <w:sz w:val="22"/>
        </w:rPr>
      </w:pPr>
      <w:r>
        <w:rPr>
          <w:sz w:val="22"/>
        </w:rPr>
        <w:t>$88,304).</w:t>
      </w:r>
      <w:r>
        <w:rPr>
          <w:spacing w:val="-11"/>
          <w:sz w:val="22"/>
        </w:rPr>
        <w:t> </w:t>
      </w:r>
      <w:r>
        <w:rPr>
          <w:sz w:val="22"/>
        </w:rPr>
        <w:t>The</w:t>
      </w:r>
      <w:r>
        <w:rPr>
          <w:spacing w:val="-15"/>
          <w:sz w:val="22"/>
        </w:rPr>
        <w:t> </w:t>
      </w:r>
      <w:r>
        <w:rPr>
          <w:sz w:val="22"/>
        </w:rPr>
        <w:t>figure</w:t>
      </w:r>
      <w:r>
        <w:rPr>
          <w:spacing w:val="-12"/>
          <w:sz w:val="22"/>
        </w:rPr>
        <w:t> </w:t>
      </w:r>
      <w:r>
        <w:rPr>
          <w:sz w:val="22"/>
        </w:rPr>
        <w:t>seen</w:t>
      </w:r>
      <w:r>
        <w:rPr>
          <w:spacing w:val="-10"/>
          <w:sz w:val="22"/>
        </w:rPr>
        <w:t> </w:t>
      </w:r>
      <w:r>
        <w:rPr>
          <w:sz w:val="22"/>
        </w:rPr>
        <w:t>above.</w:t>
      </w:r>
      <w:r>
        <w:rPr>
          <w:spacing w:val="-9"/>
          <w:sz w:val="22"/>
        </w:rPr>
        <w:t> </w:t>
      </w:r>
      <w:r>
        <w:rPr>
          <w:sz w:val="22"/>
        </w:rPr>
        <w:t>Ben</w:t>
      </w:r>
      <w:r>
        <w:rPr>
          <w:spacing w:val="-10"/>
          <w:sz w:val="22"/>
        </w:rPr>
        <w:t> </w:t>
      </w:r>
      <w:r>
        <w:rPr>
          <w:sz w:val="22"/>
        </w:rPr>
        <w:t>Franklin</w:t>
      </w:r>
      <w:r>
        <w:rPr>
          <w:spacing w:val="-10"/>
          <w:sz w:val="22"/>
        </w:rPr>
        <w:t> </w:t>
      </w:r>
      <w:r>
        <w:rPr>
          <w:sz w:val="22"/>
        </w:rPr>
        <w:t>Schools</w:t>
      </w:r>
      <w:r>
        <w:rPr>
          <w:spacing w:val="-9"/>
          <w:sz w:val="22"/>
        </w:rPr>
        <w:t> </w:t>
      </w:r>
      <w:r>
        <w:rPr>
          <w:sz w:val="22"/>
        </w:rPr>
        <w:t>have</w:t>
      </w:r>
      <w:r>
        <w:rPr>
          <w:spacing w:val="-10"/>
          <w:sz w:val="22"/>
        </w:rPr>
        <w:t> </w:t>
      </w:r>
      <w:r>
        <w:rPr>
          <w:sz w:val="22"/>
        </w:rPr>
        <w:t>substantial</w:t>
      </w:r>
      <w:r>
        <w:rPr>
          <w:spacing w:val="-11"/>
          <w:sz w:val="22"/>
        </w:rPr>
        <w:t> </w:t>
      </w:r>
      <w:r>
        <w:rPr>
          <w:sz w:val="22"/>
        </w:rPr>
        <w:t>owner’s</w:t>
      </w:r>
      <w:r>
        <w:rPr>
          <w:spacing w:val="-9"/>
          <w:sz w:val="22"/>
        </w:rPr>
        <w:t> </w:t>
      </w:r>
      <w:r>
        <w:rPr>
          <w:sz w:val="22"/>
        </w:rPr>
        <w:t>equity</w:t>
      </w:r>
      <w:r>
        <w:rPr>
          <w:spacing w:val="40"/>
          <w:sz w:val="22"/>
        </w:rPr>
        <w:t> </w:t>
      </w:r>
      <w:r>
        <w:rPr>
          <w:sz w:val="22"/>
        </w:rPr>
        <w:t>because of prudent reinvesting in the company rather than distributing net gains as distributions to stockholders.</w:t>
      </w:r>
    </w:p>
    <w:p>
      <w:pPr>
        <w:spacing w:after="0" w:line="276" w:lineRule="auto"/>
        <w:jc w:val="both"/>
        <w:rPr>
          <w:sz w:val="22"/>
        </w:rPr>
        <w:sectPr>
          <w:pgSz w:w="12240" w:h="15840"/>
          <w:pgMar w:header="740" w:footer="1002" w:top="940" w:bottom="1200" w:left="1220" w:right="900"/>
        </w:sectPr>
      </w:pPr>
    </w:p>
    <w:p>
      <w:pPr>
        <w:pStyle w:val="BodyText"/>
        <w:rPr>
          <w:sz w:val="20"/>
        </w:rPr>
      </w:pPr>
    </w:p>
    <w:p>
      <w:pPr>
        <w:pStyle w:val="BodyText"/>
        <w:spacing w:before="2"/>
        <w:rPr>
          <w:sz w:val="22"/>
        </w:rPr>
      </w:pPr>
    </w:p>
    <w:p>
      <w:pPr>
        <w:pStyle w:val="BodyText"/>
        <w:ind w:left="2620"/>
        <w:rPr>
          <w:sz w:val="20"/>
        </w:rPr>
      </w:pPr>
      <w:r>
        <w:rPr>
          <w:sz w:val="20"/>
        </w:rPr>
        <w:drawing>
          <wp:inline distT="0" distB="0" distL="0" distR="0">
            <wp:extent cx="2745233" cy="914400"/>
            <wp:effectExtent l="0" t="0" r="0" b="0"/>
            <wp:docPr id="35" name="image20.jpeg" descr=""/>
            <wp:cNvGraphicFramePr>
              <a:graphicFrameLocks noChangeAspect="1"/>
            </wp:cNvGraphicFramePr>
            <a:graphic>
              <a:graphicData uri="http://schemas.openxmlformats.org/drawingml/2006/picture">
                <pic:pic>
                  <pic:nvPicPr>
                    <pic:cNvPr id="36" name="image20.jpeg"/>
                    <pic:cNvPicPr/>
                  </pic:nvPicPr>
                  <pic:blipFill>
                    <a:blip r:embed="rId42" cstate="print"/>
                    <a:stretch>
                      <a:fillRect/>
                    </a:stretch>
                  </pic:blipFill>
                  <pic:spPr>
                    <a:xfrm>
                      <a:off x="0" y="0"/>
                      <a:ext cx="2745233" cy="914400"/>
                    </a:xfrm>
                    <a:prstGeom prst="rect">
                      <a:avLst/>
                    </a:prstGeom>
                  </pic:spPr>
                </pic:pic>
              </a:graphicData>
            </a:graphic>
          </wp:inline>
        </w:drawing>
      </w:r>
      <w:r>
        <w:rPr>
          <w:sz w:val="20"/>
        </w:rPr>
      </w:r>
    </w:p>
    <w:p>
      <w:pPr>
        <w:pStyle w:val="BodyText"/>
        <w:rPr>
          <w:sz w:val="20"/>
        </w:rPr>
      </w:pPr>
    </w:p>
    <w:p>
      <w:pPr>
        <w:pStyle w:val="BodyText"/>
        <w:spacing w:before="10"/>
        <w:rPr>
          <w:sz w:val="21"/>
        </w:rPr>
      </w:pPr>
    </w:p>
    <w:p>
      <w:pPr>
        <w:pStyle w:val="BodyText"/>
        <w:spacing w:line="276" w:lineRule="auto" w:before="93"/>
        <w:ind w:left="100" w:right="118"/>
        <w:jc w:val="both"/>
      </w:pPr>
      <w:bookmarkStart w:name="_bookmark52" w:id="53"/>
      <w:bookmarkEnd w:id="53"/>
      <w:r>
        <w:rPr/>
      </w:r>
      <w:r>
        <w:rPr>
          <w:sz w:val="22"/>
        </w:rPr>
        <w:t>I</w:t>
      </w:r>
      <w:r>
        <w:rPr/>
        <w:t>f you pay teachers less and administrators more, it shouldn’t be surprising that charters as a whole consistently spend a lower percentage of their budget than districts on instruction and support for the classroom. Teachers’ salaries and benefits are part of the costs tracked in the Classroom Instruction figures on the Superintendent’s Report.</w:t>
      </w:r>
    </w:p>
    <w:p>
      <w:pPr>
        <w:pStyle w:val="BodyText"/>
        <w:spacing w:line="276" w:lineRule="auto" w:before="204"/>
        <w:ind w:left="100" w:right="108"/>
        <w:jc w:val="both"/>
      </w:pPr>
      <w:r>
        <w:rPr/>
        <w:t>The figures below are derived from the Superintendent of Public Instruction’s Annual Report for 2013-2014 and uses the same spending categories for both charters and districts</w:t>
      </w:r>
      <w:r>
        <w:rPr>
          <w:spacing w:val="-9"/>
        </w:rPr>
        <w:t> </w:t>
      </w:r>
      <w:r>
        <w:rPr/>
        <w:t>and</w:t>
      </w:r>
      <w:r>
        <w:rPr>
          <w:spacing w:val="-9"/>
        </w:rPr>
        <w:t> </w:t>
      </w:r>
      <w:r>
        <w:rPr/>
        <w:t>excludes</w:t>
      </w:r>
      <w:r>
        <w:rPr>
          <w:spacing w:val="-12"/>
        </w:rPr>
        <w:t> </w:t>
      </w:r>
      <w:r>
        <w:rPr/>
        <w:t>areas</w:t>
      </w:r>
      <w:r>
        <w:rPr>
          <w:spacing w:val="-9"/>
        </w:rPr>
        <w:t> </w:t>
      </w:r>
      <w:r>
        <w:rPr/>
        <w:t>like</w:t>
      </w:r>
      <w:r>
        <w:rPr>
          <w:spacing w:val="-9"/>
        </w:rPr>
        <w:t> </w:t>
      </w:r>
      <w:r>
        <w:rPr/>
        <w:t>transportation</w:t>
      </w:r>
      <w:r>
        <w:rPr>
          <w:spacing w:val="-9"/>
        </w:rPr>
        <w:t> </w:t>
      </w:r>
      <w:r>
        <w:rPr/>
        <w:t>that</w:t>
      </w:r>
      <w:r>
        <w:rPr>
          <w:spacing w:val="-9"/>
        </w:rPr>
        <w:t> </w:t>
      </w:r>
      <w:r>
        <w:rPr/>
        <w:t>districts</w:t>
      </w:r>
      <w:r>
        <w:rPr>
          <w:spacing w:val="-9"/>
        </w:rPr>
        <w:t> </w:t>
      </w:r>
      <w:r>
        <w:rPr/>
        <w:t>provide</w:t>
      </w:r>
      <w:r>
        <w:rPr>
          <w:spacing w:val="-9"/>
        </w:rPr>
        <w:t> </w:t>
      </w:r>
      <w:r>
        <w:rPr/>
        <w:t>that</w:t>
      </w:r>
      <w:r>
        <w:rPr>
          <w:spacing w:val="-11"/>
        </w:rPr>
        <w:t> </w:t>
      </w:r>
      <w:r>
        <w:rPr/>
        <w:t>most</w:t>
      </w:r>
      <w:r>
        <w:rPr>
          <w:spacing w:val="-9"/>
        </w:rPr>
        <w:t> </w:t>
      </w:r>
      <w:r>
        <w:rPr/>
        <w:t>charters</w:t>
      </w:r>
      <w:r>
        <w:rPr>
          <w:spacing w:val="-10"/>
        </w:rPr>
        <w:t> </w:t>
      </w:r>
      <w:r>
        <w:rPr/>
        <w:t>do not.</w:t>
      </w:r>
    </w:p>
    <w:p>
      <w:pPr>
        <w:pStyle w:val="BodyText"/>
        <w:rPr>
          <w:sz w:val="26"/>
        </w:rPr>
      </w:pPr>
    </w:p>
    <w:p>
      <w:pPr>
        <w:pStyle w:val="BodyText"/>
        <w:spacing w:before="9"/>
        <w:rPr>
          <w:sz w:val="33"/>
        </w:rPr>
      </w:pPr>
    </w:p>
    <w:p>
      <w:pPr>
        <w:spacing w:before="1"/>
        <w:ind w:left="100" w:right="0" w:firstLine="0"/>
        <w:jc w:val="both"/>
        <w:rPr>
          <w:b/>
          <w:sz w:val="22"/>
        </w:rPr>
      </w:pPr>
      <w:bookmarkStart w:name="_bookmark53" w:id="54"/>
      <w:bookmarkEnd w:id="54"/>
      <w:r>
        <w:rPr/>
      </w:r>
      <w:r>
        <w:rPr>
          <w:b/>
          <w:color w:val="4F81BC"/>
          <w:sz w:val="22"/>
        </w:rPr>
        <w:t>Figure 4: District Spending for 2013-2014</w:t>
      </w:r>
    </w:p>
    <w:p>
      <w:pPr>
        <w:pStyle w:val="BodyText"/>
        <w:rPr>
          <w:b/>
          <w:sz w:val="20"/>
        </w:rPr>
      </w:pPr>
    </w:p>
    <w:p>
      <w:pPr>
        <w:pStyle w:val="BodyText"/>
        <w:spacing w:before="5"/>
        <w:rPr>
          <w:b/>
          <w:sz w:val="22"/>
        </w:rPr>
      </w:pPr>
      <w:r>
        <w:rPr/>
        <w:pict>
          <v:group style="position:absolute;margin-left:113.574997pt;margin-top:14.887878pt;width:384pt;height:291pt;mso-position-horizontal-relative:page;mso-position-vertical-relative:paragraph;z-index:2080;mso-wrap-distance-left:0;mso-wrap-distance-right:0" coordorigin="2271,298" coordsize="7680,5820">
            <v:shape style="position:absolute;left:2977;top:1329;width:6269;height:3514" type="#_x0000_t75" stroked="false">
              <v:imagedata r:id="rId43" o:title=""/>
            </v:shape>
            <v:line style="position:absolute" from="3174,5465" to="3174,5564" stroked="true" strokeweight="4.943pt" strokecolor="#5b9bd4">
              <v:stroke dashstyle="solid"/>
            </v:line>
            <v:line style="position:absolute" from="5208,5465" to="5208,5564" stroked="true" strokeweight="4.943pt" strokecolor="#ec7c30">
              <v:stroke dashstyle="solid"/>
            </v:line>
            <v:line style="position:absolute" from="7242,5465" to="7242,5564" stroked="true" strokeweight="4.943pt" strokecolor="#a6a6a6">
              <v:stroke dashstyle="solid"/>
            </v:line>
            <v:line style="position:absolute" from="3174,5802" to="3174,5901" stroked="true" strokeweight="4.943pt" strokecolor="#ffc000">
              <v:stroke dashstyle="solid"/>
            </v:line>
            <v:line style="position:absolute" from="5208,5802" to="5208,5901" stroked="true" strokeweight="4.943pt" strokecolor="#4471c4">
              <v:stroke dashstyle="solid"/>
            </v:line>
            <v:rect style="position:absolute;left:2279;top:305;width:7665;height:5805" filled="false" stroked="true" strokeweight=".75pt" strokecolor="#dadada">
              <v:stroke dashstyle="solid"/>
            </v:rect>
            <v:shape style="position:absolute;left:4032;top:512;width:4179;height:281" type="#_x0000_t75" stroked="false">
              <v:imagedata r:id="rId44" o:title=""/>
            </v:shape>
            <v:shape style="position:absolute;left:4260;top:1796;width:1068;height:401" type="#_x0000_t75" stroked="false">
              <v:imagedata r:id="rId45" o:title=""/>
            </v:shape>
            <v:shape style="position:absolute;left:7080;top:2079;width:1431;height:1102" type="#_x0000_t75" stroked="false">
              <v:imagedata r:id="rId46" o:title=""/>
            </v:shape>
            <v:shape style="position:absolute;left:7105;top:2501;width:1293;height:210" type="#_x0000_t75" stroked="false">
              <v:imagedata r:id="rId47" o:title=""/>
            </v:shape>
            <v:shape style="position:absolute;left:2368;top:3356;width:920;height:622" type="#_x0000_t75" stroked="false">
              <v:imagedata r:id="rId48" o:title=""/>
            </v:shape>
            <v:shape style="position:absolute;left:4111;top:3416;width:1150;height:401" type="#_x0000_t75" stroked="false">
              <v:imagedata r:id="rId49" o:title=""/>
            </v:shape>
            <v:shape style="position:absolute;left:3264;top:4884;width:3466;height:725" type="#_x0000_t75" stroked="false">
              <v:imagedata r:id="rId50" o:title=""/>
            </v:shape>
            <v:shape style="position:absolute;left:7332;top:5429;width:1112;height:180" type="#_x0000_t75" stroked="false">
              <v:imagedata r:id="rId51" o:title=""/>
            </v:shape>
            <v:shape style="position:absolute;left:3264;top:5768;width:3742;height:180" type="#_x0000_t75" stroked="false">
              <v:imagedata r:id="rId52" o:title=""/>
            </v:shape>
            <v:shape style="position:absolute;left:4032;top:528;width:4168;height:281" type="#_x0000_t202" filled="false" stroked="false">
              <v:textbox inset="0,0,0,0">
                <w:txbxContent>
                  <w:p>
                    <w:pPr>
                      <w:spacing w:line="281" w:lineRule="exact" w:before="0"/>
                      <w:ind w:left="0" w:right="0" w:firstLine="0"/>
                      <w:jc w:val="left"/>
                      <w:rPr>
                        <w:rFonts w:ascii="Calibri"/>
                        <w:sz w:val="28"/>
                      </w:rPr>
                    </w:pPr>
                    <w:r>
                      <w:rPr>
                        <w:rFonts w:ascii="Calibri"/>
                        <w:color w:val="585857"/>
                        <w:sz w:val="28"/>
                      </w:rPr>
                      <w:t>District </w:t>
                    </w:r>
                    <w:r>
                      <w:rPr>
                        <w:rFonts w:ascii="Calibri"/>
                        <w:color w:val="585857"/>
                        <w:spacing w:val="-4"/>
                        <w:sz w:val="28"/>
                      </w:rPr>
                      <w:t>Percentages </w:t>
                    </w:r>
                    <w:r>
                      <w:rPr>
                        <w:rFonts w:ascii="Calibri"/>
                        <w:color w:val="585857"/>
                        <w:sz w:val="28"/>
                      </w:rPr>
                      <w:t>on Expenditures</w:t>
                    </w:r>
                  </w:p>
                </w:txbxContent>
              </v:textbox>
              <w10:wrap type="none"/>
            </v:shape>
            <v:shape style="position:absolute;left:4261;top:1808;width:1070;height:387" type="#_x0000_t202" filled="false" stroked="false">
              <v:textbox inset="0,0,0,0">
                <w:txbxContent>
                  <w:p>
                    <w:pPr>
                      <w:spacing w:line="177" w:lineRule="exact" w:before="0"/>
                      <w:ind w:left="28" w:right="0" w:hanging="29"/>
                      <w:jc w:val="left"/>
                      <w:rPr>
                        <w:rFonts w:ascii="Calibri"/>
                        <w:sz w:val="18"/>
                      </w:rPr>
                    </w:pPr>
                    <w:r>
                      <w:rPr>
                        <w:rFonts w:ascii="Calibri"/>
                        <w:color w:val="3D3D3D"/>
                        <w:sz w:val="18"/>
                      </w:rPr>
                      <w:t>Other Support</w:t>
                    </w:r>
                  </w:p>
                  <w:p>
                    <w:pPr>
                      <w:spacing w:line="210" w:lineRule="exact" w:before="0"/>
                      <w:ind w:left="28" w:right="0" w:firstLine="0"/>
                      <w:jc w:val="left"/>
                      <w:rPr>
                        <w:rFonts w:ascii="Calibri"/>
                        <w:sz w:val="18"/>
                      </w:rPr>
                    </w:pPr>
                    <w:r>
                      <w:rPr>
                        <w:rFonts w:ascii="Calibri"/>
                        <w:color w:val="3D3D3D"/>
                        <w:sz w:val="18"/>
                      </w:rPr>
                      <w:t>Services, 28%</w:t>
                    </w:r>
                  </w:p>
                </w:txbxContent>
              </v:textbox>
              <w10:wrap type="none"/>
            </v:shape>
            <v:shape style="position:absolute;left:7115;top:2100;width:1372;height:320" type="#_x0000_t202" filled="false" stroked="false">
              <v:textbox inset="0,0,0,0">
                <w:txbxContent>
                  <w:p>
                    <w:pPr>
                      <w:spacing w:line="319" w:lineRule="exact" w:before="0"/>
                      <w:ind w:left="0" w:right="0" w:firstLine="0"/>
                      <w:jc w:val="left"/>
                      <w:rPr>
                        <w:rFonts w:ascii="Calibri"/>
                        <w:sz w:val="32"/>
                      </w:rPr>
                    </w:pPr>
                    <w:r>
                      <w:rPr>
                        <w:rFonts w:ascii="Calibri"/>
                        <w:color w:val="3D3D3D"/>
                        <w:sz w:val="32"/>
                      </w:rPr>
                      <w:t>Classroom</w:t>
                    </w:r>
                  </w:p>
                </w:txbxContent>
              </v:textbox>
              <w10:wrap type="none"/>
            </v:shape>
            <v:shape style="position:absolute;left:7511;top:2859;width:569;height:320" type="#_x0000_t202" filled="false" stroked="false">
              <v:textbox inset="0,0,0,0">
                <w:txbxContent>
                  <w:p>
                    <w:pPr>
                      <w:spacing w:line="319" w:lineRule="exact" w:before="0"/>
                      <w:ind w:left="0" w:right="0" w:firstLine="0"/>
                      <w:jc w:val="left"/>
                      <w:rPr>
                        <w:rFonts w:ascii="Calibri"/>
                        <w:sz w:val="32"/>
                      </w:rPr>
                    </w:pPr>
                    <w:r>
                      <w:rPr>
                        <w:rFonts w:ascii="Calibri"/>
                        <w:color w:val="3D3D3D"/>
                        <w:sz w:val="32"/>
                      </w:rPr>
                      <w:t>52%</w:t>
                    </w:r>
                  </w:p>
                </w:txbxContent>
              </v:textbox>
              <w10:wrap type="none"/>
            </v:shape>
            <v:shape style="position:absolute;left:2369;top:3369;width:917;height:605" type="#_x0000_t202" filled="false" stroked="false">
              <v:textbox inset="0,0,0,0">
                <w:txbxContent>
                  <w:p>
                    <w:pPr>
                      <w:spacing w:line="177" w:lineRule="exact" w:before="0"/>
                      <w:ind w:left="158" w:right="0" w:firstLine="2"/>
                      <w:jc w:val="left"/>
                      <w:rPr>
                        <w:rFonts w:ascii="Calibri"/>
                        <w:sz w:val="18"/>
                      </w:rPr>
                    </w:pPr>
                    <w:r>
                      <w:rPr>
                        <w:rFonts w:ascii="Calibri"/>
                        <w:color w:val="3D3D3D"/>
                        <w:sz w:val="18"/>
                      </w:rPr>
                      <w:t>Student</w:t>
                    </w:r>
                  </w:p>
                  <w:p>
                    <w:pPr>
                      <w:spacing w:line="237" w:lineRule="auto" w:before="0"/>
                      <w:ind w:left="0" w:right="-3" w:firstLine="158"/>
                      <w:jc w:val="left"/>
                      <w:rPr>
                        <w:rFonts w:ascii="Calibri"/>
                        <w:sz w:val="18"/>
                      </w:rPr>
                    </w:pPr>
                    <w:r>
                      <w:rPr>
                        <w:rFonts w:ascii="Calibri"/>
                        <w:color w:val="3D3D3D"/>
                        <w:sz w:val="18"/>
                      </w:rPr>
                      <w:t>Support Services, 8%</w:t>
                    </w:r>
                  </w:p>
                </w:txbxContent>
              </v:textbox>
              <w10:wrap type="none"/>
            </v:shape>
            <v:shape style="position:absolute;left:4117;top:3429;width:1143;height:387" type="#_x0000_t202" filled="false" stroked="false">
              <v:textbox inset="0,0,0,0">
                <w:txbxContent>
                  <w:p>
                    <w:pPr>
                      <w:spacing w:line="177" w:lineRule="exact" w:before="0"/>
                      <w:ind w:left="-1" w:right="18" w:firstLine="0"/>
                      <w:jc w:val="center"/>
                      <w:rPr>
                        <w:rFonts w:ascii="Calibri"/>
                        <w:sz w:val="18"/>
                      </w:rPr>
                    </w:pPr>
                    <w:r>
                      <w:rPr>
                        <w:rFonts w:ascii="Calibri"/>
                        <w:color w:val="3D3D3D"/>
                        <w:spacing w:val="-2"/>
                        <w:sz w:val="18"/>
                      </w:rPr>
                      <w:t>Administration,</w:t>
                    </w:r>
                  </w:p>
                  <w:p>
                    <w:pPr>
                      <w:spacing w:line="210" w:lineRule="exact" w:before="0"/>
                      <w:ind w:left="0" w:right="18" w:firstLine="0"/>
                      <w:jc w:val="center"/>
                      <w:rPr>
                        <w:rFonts w:ascii="Calibri"/>
                        <w:sz w:val="18"/>
                      </w:rPr>
                    </w:pPr>
                    <w:r>
                      <w:rPr>
                        <w:rFonts w:ascii="Calibri"/>
                        <w:color w:val="3D3D3D"/>
                        <w:sz w:val="18"/>
                      </w:rPr>
                      <w:t>10%</w:t>
                    </w:r>
                  </w:p>
                </w:txbxContent>
              </v:textbox>
              <w10:wrap type="none"/>
            </v:shape>
            <v:shape style="position:absolute;left:3264;top:4898;width:3456;height:711" type="#_x0000_t202" filled="false" stroked="false">
              <v:textbox inset="0,0,0,0">
                <w:txbxContent>
                  <w:p>
                    <w:pPr>
                      <w:spacing w:line="177" w:lineRule="exact" w:before="0"/>
                      <w:ind w:left="1608" w:right="0" w:firstLine="74"/>
                      <w:jc w:val="left"/>
                      <w:rPr>
                        <w:rFonts w:ascii="Calibri"/>
                        <w:sz w:val="18"/>
                      </w:rPr>
                    </w:pPr>
                    <w:r>
                      <w:rPr>
                        <w:rFonts w:ascii="Calibri"/>
                        <w:color w:val="3D3D3D"/>
                        <w:sz w:val="18"/>
                      </w:rPr>
                      <w:t>Classroom</w:t>
                    </w:r>
                  </w:p>
                  <w:p>
                    <w:pPr>
                      <w:spacing w:line="213" w:lineRule="exact" w:before="0"/>
                      <w:ind w:left="1608" w:right="0" w:firstLine="0"/>
                      <w:jc w:val="left"/>
                      <w:rPr>
                        <w:rFonts w:ascii="Calibri"/>
                        <w:sz w:val="18"/>
                      </w:rPr>
                    </w:pPr>
                    <w:r>
                      <w:rPr>
                        <w:rFonts w:ascii="Calibri"/>
                        <w:color w:val="3D3D3D"/>
                        <w:sz w:val="18"/>
                      </w:rPr>
                      <w:t>Supplies, 2%</w:t>
                    </w:r>
                  </w:p>
                  <w:p>
                    <w:pPr>
                      <w:tabs>
                        <w:tab w:pos="2033" w:val="left" w:leader="none"/>
                      </w:tabs>
                      <w:spacing w:line="216" w:lineRule="exact" w:before="104"/>
                      <w:ind w:left="0" w:right="0" w:firstLine="0"/>
                      <w:jc w:val="left"/>
                      <w:rPr>
                        <w:rFonts w:ascii="Calibri"/>
                        <w:sz w:val="18"/>
                      </w:rPr>
                    </w:pPr>
                    <w:r>
                      <w:rPr>
                        <w:rFonts w:ascii="Calibri"/>
                        <w:color w:val="585857"/>
                        <w:sz w:val="18"/>
                      </w:rPr>
                      <w:t>Classroom</w:t>
                    </w:r>
                    <w:r>
                      <w:rPr>
                        <w:rFonts w:ascii="Calibri"/>
                        <w:color w:val="585857"/>
                        <w:spacing w:val="-5"/>
                        <w:sz w:val="18"/>
                      </w:rPr>
                      <w:t> </w:t>
                    </w:r>
                    <w:r>
                      <w:rPr>
                        <w:rFonts w:ascii="Calibri"/>
                        <w:color w:val="585857"/>
                        <w:sz w:val="18"/>
                      </w:rPr>
                      <w:t>Instruction</w:t>
                      <w:tab/>
                      <w:t>Classroom</w:t>
                    </w:r>
                    <w:r>
                      <w:rPr>
                        <w:rFonts w:ascii="Calibri"/>
                        <w:color w:val="585857"/>
                        <w:spacing w:val="-15"/>
                        <w:sz w:val="18"/>
                      </w:rPr>
                      <w:t> </w:t>
                    </w:r>
                    <w:r>
                      <w:rPr>
                        <w:rFonts w:ascii="Calibri"/>
                        <w:color w:val="585857"/>
                        <w:sz w:val="18"/>
                      </w:rPr>
                      <w:t>Supplies</w:t>
                    </w:r>
                  </w:p>
                </w:txbxContent>
              </v:textbox>
              <w10:wrap type="none"/>
            </v:shape>
            <v:shape style="position:absolute;left:7333;top:5441;width:1108;height:180" type="#_x0000_t202" filled="false" stroked="false">
              <v:textbox inset="0,0,0,0">
                <w:txbxContent>
                  <w:p>
                    <w:pPr>
                      <w:spacing w:line="180" w:lineRule="exact" w:before="0"/>
                      <w:ind w:left="0" w:right="0" w:firstLine="0"/>
                      <w:jc w:val="left"/>
                      <w:rPr>
                        <w:rFonts w:ascii="Calibri"/>
                        <w:sz w:val="18"/>
                      </w:rPr>
                    </w:pPr>
                    <w:r>
                      <w:rPr>
                        <w:rFonts w:ascii="Calibri"/>
                        <w:color w:val="585857"/>
                        <w:sz w:val="18"/>
                      </w:rPr>
                      <w:t>Administration</w:t>
                    </w:r>
                  </w:p>
                </w:txbxContent>
              </v:textbox>
              <w10:wrap type="none"/>
            </v:shape>
            <v:shape style="position:absolute;left:3264;top:5779;width:3744;height:180" type="#_x0000_t202" filled="false" stroked="false">
              <v:textbox inset="0,0,0,0">
                <w:txbxContent>
                  <w:p>
                    <w:pPr>
                      <w:tabs>
                        <w:tab w:pos="2036" w:val="left" w:leader="none"/>
                      </w:tabs>
                      <w:spacing w:line="180" w:lineRule="exact" w:before="0"/>
                      <w:ind w:left="0" w:right="0" w:firstLine="0"/>
                      <w:jc w:val="left"/>
                      <w:rPr>
                        <w:rFonts w:ascii="Calibri"/>
                        <w:sz w:val="18"/>
                      </w:rPr>
                    </w:pPr>
                    <w:r>
                      <w:rPr>
                        <w:rFonts w:ascii="Calibri"/>
                        <w:color w:val="585857"/>
                        <w:sz w:val="18"/>
                      </w:rPr>
                      <w:t>Student</w:t>
                    </w:r>
                    <w:r>
                      <w:rPr>
                        <w:rFonts w:ascii="Calibri"/>
                        <w:color w:val="585857"/>
                        <w:spacing w:val="-2"/>
                        <w:sz w:val="18"/>
                      </w:rPr>
                      <w:t> </w:t>
                    </w:r>
                    <w:r>
                      <w:rPr>
                        <w:rFonts w:ascii="Calibri"/>
                        <w:color w:val="585857"/>
                        <w:sz w:val="18"/>
                      </w:rPr>
                      <w:t>Support</w:t>
                    </w:r>
                    <w:r>
                      <w:rPr>
                        <w:rFonts w:ascii="Calibri"/>
                        <w:color w:val="585857"/>
                        <w:spacing w:val="-4"/>
                        <w:sz w:val="18"/>
                      </w:rPr>
                      <w:t> </w:t>
                    </w:r>
                    <w:r>
                      <w:rPr>
                        <w:rFonts w:ascii="Calibri"/>
                        <w:color w:val="585857"/>
                        <w:sz w:val="18"/>
                      </w:rPr>
                      <w:t>Services</w:t>
                      <w:tab/>
                      <w:t>Other Support</w:t>
                    </w:r>
                    <w:r>
                      <w:rPr>
                        <w:rFonts w:ascii="Calibri"/>
                        <w:color w:val="585857"/>
                        <w:spacing w:val="-5"/>
                        <w:sz w:val="18"/>
                      </w:rPr>
                      <w:t> </w:t>
                    </w:r>
                    <w:r>
                      <w:rPr>
                        <w:rFonts w:ascii="Calibri"/>
                        <w:color w:val="585857"/>
                        <w:sz w:val="18"/>
                      </w:rPr>
                      <w:t>Services</w:t>
                    </w:r>
                  </w:p>
                </w:txbxContent>
              </v:textbox>
              <w10:wrap type="none"/>
            </v:shape>
            <w10:wrap type="topAndBottom"/>
          </v:group>
        </w:pict>
      </w:r>
    </w:p>
    <w:p>
      <w:pPr>
        <w:spacing w:after="0"/>
        <w:rPr>
          <w:sz w:val="22"/>
        </w:rPr>
        <w:sectPr>
          <w:footerReference w:type="default" r:id="rId41"/>
          <w:pgSz w:w="12240" w:h="15840"/>
          <w:pgMar w:footer="1002" w:header="740" w:top="940" w:bottom="1200" w:left="1340" w:right="1320"/>
        </w:sectPr>
      </w:pPr>
    </w:p>
    <w:p>
      <w:pPr>
        <w:pStyle w:val="BodyText"/>
        <w:rPr>
          <w:b/>
          <w:sz w:val="20"/>
        </w:rPr>
      </w:pPr>
    </w:p>
    <w:p>
      <w:pPr>
        <w:pStyle w:val="BodyText"/>
        <w:rPr>
          <w:b/>
          <w:sz w:val="20"/>
        </w:rPr>
      </w:pPr>
    </w:p>
    <w:p>
      <w:pPr>
        <w:pStyle w:val="BodyText"/>
        <w:rPr>
          <w:b/>
          <w:sz w:val="20"/>
        </w:rPr>
      </w:pPr>
    </w:p>
    <w:p>
      <w:pPr>
        <w:pStyle w:val="BodyText"/>
        <w:spacing w:before="9"/>
        <w:rPr>
          <w:b/>
          <w:sz w:val="15"/>
        </w:rPr>
      </w:pPr>
    </w:p>
    <w:p>
      <w:pPr>
        <w:spacing w:before="94"/>
        <w:ind w:left="120" w:right="0" w:firstLine="0"/>
        <w:jc w:val="both"/>
        <w:rPr>
          <w:b/>
          <w:sz w:val="22"/>
        </w:rPr>
      </w:pPr>
      <w:bookmarkStart w:name="_bookmark54" w:id="55"/>
      <w:bookmarkEnd w:id="55"/>
      <w:r>
        <w:rPr/>
      </w:r>
      <w:r>
        <w:rPr>
          <w:b/>
          <w:color w:val="4F81BC"/>
          <w:sz w:val="22"/>
        </w:rPr>
        <w:t>Figure 5: Charter Spending for 2013-2014</w:t>
      </w:r>
    </w:p>
    <w:p>
      <w:pPr>
        <w:pStyle w:val="BodyText"/>
        <w:rPr>
          <w:b/>
          <w:sz w:val="20"/>
        </w:rPr>
      </w:pPr>
    </w:p>
    <w:p>
      <w:pPr>
        <w:pStyle w:val="BodyText"/>
        <w:spacing w:before="6"/>
        <w:rPr>
          <w:b/>
          <w:sz w:val="22"/>
        </w:rPr>
      </w:pPr>
      <w:r>
        <w:rPr/>
        <w:pict>
          <v:group style="position:absolute;margin-left:97.074997pt;margin-top:14.94414pt;width:417pt;height:284.25pt;mso-position-horizontal-relative:page;mso-position-vertical-relative:paragraph;z-index:2344;mso-wrap-distance-left:0;mso-wrap-distance-right:0" coordorigin="1941,299" coordsize="8340,5685">
            <v:shape style="position:absolute;left:2687;top:1320;width:6848;height:3399" type="#_x0000_t75" stroked="false">
              <v:imagedata r:id="rId54" o:title=""/>
            </v:shape>
            <v:line style="position:absolute" from="3174,5330" to="3174,5429" stroked="true" strokeweight="4.943pt" strokecolor="#5b9bd4">
              <v:stroke dashstyle="solid"/>
            </v:line>
            <v:line style="position:absolute" from="5208,5330" to="5208,5429" stroked="true" strokeweight="4.943pt" strokecolor="#ec7c30">
              <v:stroke dashstyle="solid"/>
            </v:line>
            <v:line style="position:absolute" from="7242,5330" to="7242,5429" stroked="true" strokeweight="4.943pt" strokecolor="#a6a6a6">
              <v:stroke dashstyle="solid"/>
            </v:line>
            <v:line style="position:absolute" from="3174,5668" to="3174,5767" stroked="true" strokeweight="4.943pt" strokecolor="#ffc000">
              <v:stroke dashstyle="solid"/>
            </v:line>
            <v:line style="position:absolute" from="5208,5668" to="5208,5767" stroked="true" strokeweight="4.943pt" strokecolor="#4471c4">
              <v:stroke dashstyle="solid"/>
            </v:line>
            <v:rect style="position:absolute;left:1949;top:306;width:8325;height:5670" filled="false" stroked="true" strokeweight=".75pt" strokecolor="#dadada">
              <v:stroke dashstyle="solid"/>
            </v:rect>
            <v:shape style="position:absolute;left:4010;top:512;width:4222;height:281" type="#_x0000_t75" stroked="false">
              <v:imagedata r:id="rId55" o:title=""/>
            </v:shape>
            <v:shape style="position:absolute;left:4394;top:1736;width:1068;height:401" type="#_x0000_t75" stroked="false">
              <v:imagedata r:id="rId45" o:title=""/>
            </v:shape>
            <v:shape style="position:absolute;left:6297;top:1721;width:1510;height:1100" type="#_x0000_t75" stroked="false">
              <v:imagedata r:id="rId56" o:title=""/>
            </v:shape>
            <v:shape style="position:absolute;left:6323;top:2141;width:1372;height:252" type="#_x0000_t75" stroked="false">
              <v:imagedata r:id="rId57" o:title=""/>
            </v:shape>
            <v:shape style="position:absolute;left:2114;top:3296;width:1217;height:401" type="#_x0000_t75" stroked="false">
              <v:imagedata r:id="rId58" o:title=""/>
            </v:shape>
            <v:shape style="position:absolute;left:3883;top:3221;width:1510;height:180" type="#_x0000_t75" stroked="false">
              <v:imagedata r:id="rId59" o:title=""/>
            </v:shape>
            <v:shape style="position:absolute;left:6417;top:4767;width:982;height:401" type="#_x0000_t75" stroked="false">
              <v:imagedata r:id="rId60" o:title=""/>
            </v:shape>
            <v:shape style="position:absolute;left:3264;top:5295;width:3396;height:180" type="#_x0000_t75" stroked="false">
              <v:imagedata r:id="rId61" o:title=""/>
            </v:shape>
            <v:shape style="position:absolute;left:7332;top:5295;width:1112;height:180" type="#_x0000_t75" stroked="false">
              <v:imagedata r:id="rId51" o:title=""/>
            </v:shape>
            <v:shape style="position:absolute;left:3264;top:5633;width:3742;height:180" type="#_x0000_t75" stroked="false">
              <v:imagedata r:id="rId52" o:title=""/>
            </v:shape>
            <v:shape style="position:absolute;left:4010;top:527;width:4213;height:281" type="#_x0000_t202" filled="false" stroked="false">
              <v:textbox inset="0,0,0,0">
                <w:txbxContent>
                  <w:p>
                    <w:pPr>
                      <w:spacing w:line="281" w:lineRule="exact" w:before="0"/>
                      <w:ind w:left="0" w:right="0" w:firstLine="0"/>
                      <w:jc w:val="left"/>
                      <w:rPr>
                        <w:rFonts w:ascii="Calibri"/>
                        <w:sz w:val="28"/>
                      </w:rPr>
                    </w:pPr>
                    <w:r>
                      <w:rPr>
                        <w:rFonts w:ascii="Calibri"/>
                        <w:color w:val="585857"/>
                        <w:sz w:val="28"/>
                      </w:rPr>
                      <w:t>Charter </w:t>
                    </w:r>
                    <w:r>
                      <w:rPr>
                        <w:rFonts w:ascii="Calibri"/>
                        <w:color w:val="585857"/>
                        <w:spacing w:val="-4"/>
                        <w:sz w:val="28"/>
                      </w:rPr>
                      <w:t>Percentages </w:t>
                    </w:r>
                    <w:r>
                      <w:rPr>
                        <w:rFonts w:ascii="Calibri"/>
                        <w:color w:val="585857"/>
                        <w:sz w:val="28"/>
                      </w:rPr>
                      <w:t>on Expenditures</w:t>
                    </w:r>
                  </w:p>
                </w:txbxContent>
              </v:textbox>
              <w10:wrap type="none"/>
            </v:shape>
            <v:shape style="position:absolute;left:4395;top:1748;width:1070;height:387" type="#_x0000_t202" filled="false" stroked="false">
              <v:textbox inset="0,0,0,0">
                <w:txbxContent>
                  <w:p>
                    <w:pPr>
                      <w:spacing w:line="177" w:lineRule="exact" w:before="0"/>
                      <w:ind w:left="28" w:right="0" w:hanging="29"/>
                      <w:jc w:val="left"/>
                      <w:rPr>
                        <w:rFonts w:ascii="Calibri"/>
                        <w:sz w:val="18"/>
                      </w:rPr>
                    </w:pPr>
                    <w:r>
                      <w:rPr>
                        <w:rFonts w:ascii="Calibri"/>
                        <w:color w:val="3D3D3D"/>
                        <w:sz w:val="18"/>
                      </w:rPr>
                      <w:t>Other Support</w:t>
                    </w:r>
                  </w:p>
                  <w:p>
                    <w:pPr>
                      <w:spacing w:line="210" w:lineRule="exact" w:before="0"/>
                      <w:ind w:left="28" w:right="0" w:firstLine="0"/>
                      <w:jc w:val="left"/>
                      <w:rPr>
                        <w:rFonts w:ascii="Calibri"/>
                        <w:sz w:val="18"/>
                      </w:rPr>
                    </w:pPr>
                    <w:r>
                      <w:rPr>
                        <w:rFonts w:ascii="Calibri"/>
                        <w:color w:val="3D3D3D"/>
                        <w:sz w:val="18"/>
                      </w:rPr>
                      <w:t>Services, 25%</w:t>
                    </w:r>
                  </w:p>
                </w:txbxContent>
              </v:textbox>
              <w10:wrap type="none"/>
            </v:shape>
            <v:shape style="position:absolute;left:6373;top:1742;width:1372;height:320" type="#_x0000_t202" filled="false" stroked="false">
              <v:textbox inset="0,0,0,0">
                <w:txbxContent>
                  <w:p>
                    <w:pPr>
                      <w:spacing w:line="319" w:lineRule="exact" w:before="0"/>
                      <w:ind w:left="0" w:right="0" w:firstLine="0"/>
                      <w:jc w:val="left"/>
                      <w:rPr>
                        <w:rFonts w:ascii="Calibri"/>
                        <w:sz w:val="32"/>
                      </w:rPr>
                    </w:pPr>
                    <w:r>
                      <w:rPr>
                        <w:rFonts w:ascii="Calibri"/>
                        <w:color w:val="3D3D3D"/>
                        <w:sz w:val="32"/>
                      </w:rPr>
                      <w:t>Classroom</w:t>
                    </w:r>
                  </w:p>
                </w:txbxContent>
              </v:textbox>
              <w10:wrap type="none"/>
            </v:shape>
            <v:shape style="position:absolute;left:6769;top:2500;width:569;height:320" type="#_x0000_t202" filled="false" stroked="false">
              <v:textbox inset="0,0,0,0">
                <w:txbxContent>
                  <w:p>
                    <w:pPr>
                      <w:spacing w:line="319" w:lineRule="exact" w:before="0"/>
                      <w:ind w:left="0" w:right="0" w:firstLine="0"/>
                      <w:jc w:val="left"/>
                      <w:rPr>
                        <w:rFonts w:ascii="Calibri"/>
                        <w:sz w:val="32"/>
                      </w:rPr>
                    </w:pPr>
                    <w:r>
                      <w:rPr>
                        <w:rFonts w:ascii="Calibri"/>
                        <w:color w:val="3D3D3D"/>
                        <w:sz w:val="32"/>
                      </w:rPr>
                      <w:t>45%</w:t>
                    </w:r>
                  </w:p>
                </w:txbxContent>
              </v:textbox>
              <w10:wrap type="none"/>
            </v:shape>
            <v:shape style="position:absolute;left:2117;top:3308;width:1213;height:387" type="#_x0000_t202" filled="false" stroked="false">
              <v:textbox inset="0,0,0,0">
                <w:txbxContent>
                  <w:p>
                    <w:pPr>
                      <w:spacing w:line="177" w:lineRule="exact" w:before="0"/>
                      <w:ind w:left="0" w:right="18" w:firstLine="0"/>
                      <w:jc w:val="center"/>
                      <w:rPr>
                        <w:rFonts w:ascii="Calibri"/>
                        <w:sz w:val="18"/>
                      </w:rPr>
                    </w:pPr>
                    <w:r>
                      <w:rPr>
                        <w:rFonts w:ascii="Calibri"/>
                        <w:color w:val="3D3D3D"/>
                        <w:sz w:val="18"/>
                      </w:rPr>
                      <w:t>Student</w:t>
                    </w:r>
                    <w:r>
                      <w:rPr>
                        <w:rFonts w:ascii="Calibri"/>
                        <w:color w:val="3D3D3D"/>
                        <w:spacing w:val="-13"/>
                        <w:sz w:val="18"/>
                      </w:rPr>
                      <w:t> </w:t>
                    </w:r>
                    <w:r>
                      <w:rPr>
                        <w:rFonts w:ascii="Calibri"/>
                        <w:color w:val="3D3D3D"/>
                        <w:sz w:val="18"/>
                      </w:rPr>
                      <w:t>Support</w:t>
                    </w:r>
                  </w:p>
                  <w:p>
                    <w:pPr>
                      <w:spacing w:line="210" w:lineRule="exact" w:before="0"/>
                      <w:ind w:left="0" w:right="21" w:firstLine="0"/>
                      <w:jc w:val="center"/>
                      <w:rPr>
                        <w:rFonts w:ascii="Calibri"/>
                        <w:sz w:val="18"/>
                      </w:rPr>
                    </w:pPr>
                    <w:r>
                      <w:rPr>
                        <w:rFonts w:ascii="Calibri"/>
                        <w:color w:val="3D3D3D"/>
                        <w:sz w:val="18"/>
                      </w:rPr>
                      <w:t>Services, 5%</w:t>
                    </w:r>
                  </w:p>
                </w:txbxContent>
              </v:textbox>
              <w10:wrap type="none"/>
            </v:shape>
            <v:shape style="position:absolute;left:3883;top:3231;width:1504;height:180" type="#_x0000_t202" filled="false" stroked="false">
              <v:textbox inset="0,0,0,0">
                <w:txbxContent>
                  <w:p>
                    <w:pPr>
                      <w:spacing w:line="180" w:lineRule="exact" w:before="0"/>
                      <w:ind w:left="0" w:right="0" w:firstLine="0"/>
                      <w:jc w:val="left"/>
                      <w:rPr>
                        <w:rFonts w:ascii="Calibri"/>
                        <w:sz w:val="18"/>
                      </w:rPr>
                    </w:pPr>
                    <w:r>
                      <w:rPr>
                        <w:rFonts w:ascii="Calibri"/>
                        <w:color w:val="3D3D3D"/>
                        <w:sz w:val="18"/>
                      </w:rPr>
                      <w:t>Administration, 21%</w:t>
                    </w:r>
                  </w:p>
                </w:txbxContent>
              </v:textbox>
              <w10:wrap type="none"/>
            </v:shape>
            <v:shape style="position:absolute;left:6418;top:4780;width:979;height:387" type="#_x0000_t202" filled="false" stroked="false">
              <v:textbox inset="0,0,0,0">
                <w:txbxContent>
                  <w:p>
                    <w:pPr>
                      <w:spacing w:line="177" w:lineRule="exact" w:before="0"/>
                      <w:ind w:left="0" w:right="0" w:firstLine="98"/>
                      <w:jc w:val="left"/>
                      <w:rPr>
                        <w:rFonts w:ascii="Calibri"/>
                        <w:sz w:val="18"/>
                      </w:rPr>
                    </w:pPr>
                    <w:r>
                      <w:rPr>
                        <w:rFonts w:ascii="Calibri"/>
                        <w:color w:val="3D3D3D"/>
                        <w:sz w:val="18"/>
                      </w:rPr>
                      <w:t>Classroom</w:t>
                    </w:r>
                  </w:p>
                  <w:p>
                    <w:pPr>
                      <w:spacing w:line="210" w:lineRule="exact" w:before="0"/>
                      <w:ind w:left="0" w:right="0" w:firstLine="0"/>
                      <w:jc w:val="left"/>
                      <w:rPr>
                        <w:rFonts w:ascii="Calibri"/>
                        <w:sz w:val="18"/>
                      </w:rPr>
                    </w:pPr>
                    <w:r>
                      <w:rPr>
                        <w:rFonts w:ascii="Calibri"/>
                        <w:color w:val="3D3D3D"/>
                        <w:sz w:val="18"/>
                      </w:rPr>
                      <w:t>Supplies, 4.%</w:t>
                    </w:r>
                  </w:p>
                </w:txbxContent>
              </v:textbox>
              <w10:wrap type="none"/>
            </v:shape>
            <v:shape style="position:absolute;left:3264;top:5305;width:3386;height:180" type="#_x0000_t202" filled="false" stroked="false">
              <v:textbox inset="0,0,0,0">
                <w:txbxContent>
                  <w:p>
                    <w:pPr>
                      <w:tabs>
                        <w:tab w:pos="2033" w:val="left" w:leader="none"/>
                      </w:tabs>
                      <w:spacing w:line="180" w:lineRule="exact" w:before="0"/>
                      <w:ind w:left="0" w:right="0" w:firstLine="0"/>
                      <w:jc w:val="left"/>
                      <w:rPr>
                        <w:rFonts w:ascii="Calibri"/>
                        <w:sz w:val="18"/>
                      </w:rPr>
                    </w:pPr>
                    <w:r>
                      <w:rPr>
                        <w:rFonts w:ascii="Calibri"/>
                        <w:color w:val="585857"/>
                        <w:sz w:val="18"/>
                      </w:rPr>
                      <w:t>Classroom</w:t>
                    </w:r>
                    <w:r>
                      <w:rPr>
                        <w:rFonts w:ascii="Calibri"/>
                        <w:color w:val="585857"/>
                        <w:spacing w:val="-5"/>
                        <w:sz w:val="18"/>
                      </w:rPr>
                      <w:t> </w:t>
                    </w:r>
                    <w:r>
                      <w:rPr>
                        <w:rFonts w:ascii="Calibri"/>
                        <w:color w:val="585857"/>
                        <w:sz w:val="18"/>
                      </w:rPr>
                      <w:t>Instruction</w:t>
                      <w:tab/>
                      <w:t>Clasroom</w:t>
                    </w:r>
                    <w:r>
                      <w:rPr>
                        <w:rFonts w:ascii="Calibri"/>
                        <w:color w:val="585857"/>
                        <w:spacing w:val="-14"/>
                        <w:sz w:val="18"/>
                      </w:rPr>
                      <w:t> </w:t>
                    </w:r>
                    <w:r>
                      <w:rPr>
                        <w:rFonts w:ascii="Calibri"/>
                        <w:color w:val="585857"/>
                        <w:sz w:val="18"/>
                      </w:rPr>
                      <w:t>Supplies</w:t>
                    </w:r>
                  </w:p>
                </w:txbxContent>
              </v:textbox>
              <w10:wrap type="none"/>
            </v:shape>
            <v:shape style="position:absolute;left:7333;top:5305;width:1108;height:180" type="#_x0000_t202" filled="false" stroked="false">
              <v:textbox inset="0,0,0,0">
                <w:txbxContent>
                  <w:p>
                    <w:pPr>
                      <w:spacing w:line="180" w:lineRule="exact" w:before="0"/>
                      <w:ind w:left="0" w:right="0" w:firstLine="0"/>
                      <w:jc w:val="left"/>
                      <w:rPr>
                        <w:rFonts w:ascii="Calibri"/>
                        <w:sz w:val="18"/>
                      </w:rPr>
                    </w:pPr>
                    <w:r>
                      <w:rPr>
                        <w:rFonts w:ascii="Calibri"/>
                        <w:color w:val="585857"/>
                        <w:sz w:val="18"/>
                      </w:rPr>
                      <w:t>Administration</w:t>
                    </w:r>
                  </w:p>
                </w:txbxContent>
              </v:textbox>
              <w10:wrap type="none"/>
            </v:shape>
            <v:shape style="position:absolute;left:3264;top:5644;width:3741;height:180" type="#_x0000_t202" filled="false" stroked="false">
              <v:textbox inset="0,0,0,0">
                <w:txbxContent>
                  <w:p>
                    <w:pPr>
                      <w:tabs>
                        <w:tab w:pos="2036" w:val="left" w:leader="none"/>
                      </w:tabs>
                      <w:spacing w:line="180" w:lineRule="exact" w:before="0"/>
                      <w:ind w:left="0" w:right="0" w:firstLine="0"/>
                      <w:jc w:val="left"/>
                      <w:rPr>
                        <w:rFonts w:ascii="Calibri"/>
                        <w:sz w:val="18"/>
                      </w:rPr>
                    </w:pPr>
                    <w:r>
                      <w:rPr>
                        <w:rFonts w:ascii="Calibri"/>
                        <w:color w:val="585857"/>
                        <w:sz w:val="18"/>
                      </w:rPr>
                      <w:t>Student</w:t>
                    </w:r>
                    <w:r>
                      <w:rPr>
                        <w:rFonts w:ascii="Calibri"/>
                        <w:color w:val="585857"/>
                        <w:spacing w:val="-2"/>
                        <w:sz w:val="18"/>
                      </w:rPr>
                      <w:t> </w:t>
                    </w:r>
                    <w:r>
                      <w:rPr>
                        <w:rFonts w:ascii="Calibri"/>
                        <w:color w:val="585857"/>
                        <w:sz w:val="18"/>
                      </w:rPr>
                      <w:t>Support</w:t>
                    </w:r>
                    <w:r>
                      <w:rPr>
                        <w:rFonts w:ascii="Calibri"/>
                        <w:color w:val="585857"/>
                        <w:spacing w:val="-4"/>
                        <w:sz w:val="18"/>
                      </w:rPr>
                      <w:t> </w:t>
                    </w:r>
                    <w:r>
                      <w:rPr>
                        <w:rFonts w:ascii="Calibri"/>
                        <w:color w:val="585857"/>
                        <w:sz w:val="18"/>
                      </w:rPr>
                      <w:t>Services</w:t>
                      <w:tab/>
                      <w:t>Other Support</w:t>
                    </w:r>
                    <w:r>
                      <w:rPr>
                        <w:rFonts w:ascii="Calibri"/>
                        <w:color w:val="585857"/>
                        <w:spacing w:val="-7"/>
                        <w:sz w:val="18"/>
                      </w:rPr>
                      <w:t> </w:t>
                    </w:r>
                    <w:r>
                      <w:rPr>
                        <w:rFonts w:ascii="Calibri"/>
                        <w:color w:val="585857"/>
                        <w:sz w:val="18"/>
                      </w:rPr>
                      <w:t>Services</w:t>
                    </w:r>
                  </w:p>
                </w:txbxContent>
              </v:textbox>
              <w10:wrap type="none"/>
            </v:shape>
            <w10:wrap type="topAndBottom"/>
          </v:group>
        </w:pict>
      </w:r>
    </w:p>
    <w:p>
      <w:pPr>
        <w:spacing w:before="181"/>
        <w:ind w:left="1243" w:right="1239" w:firstLine="0"/>
        <w:jc w:val="center"/>
        <w:rPr>
          <w:sz w:val="22"/>
        </w:rPr>
      </w:pPr>
      <w:r>
        <w:rPr>
          <w:sz w:val="22"/>
        </w:rPr>
        <w:t>Charter Spending for 2013-2014</w:t>
      </w:r>
    </w:p>
    <w:p>
      <w:pPr>
        <w:pStyle w:val="BodyText"/>
        <w:spacing w:before="5"/>
        <w:rPr>
          <w:sz w:val="20"/>
        </w:rPr>
      </w:pPr>
    </w:p>
    <w:p>
      <w:pPr>
        <w:spacing w:line="278" w:lineRule="auto" w:before="0"/>
        <w:ind w:left="165" w:right="171" w:firstLine="0"/>
        <w:jc w:val="center"/>
        <w:rPr>
          <w:b/>
          <w:sz w:val="20"/>
        </w:rPr>
      </w:pPr>
      <w:r>
        <w:rPr>
          <w:b/>
          <w:sz w:val="20"/>
        </w:rPr>
        <w:t>Source: Arizona Education Services, Arizona School Boards Association January 29, 2015 based on data from Superintendent of Public Instruction’s Annual Report, 2013-2014</w:t>
      </w:r>
    </w:p>
    <w:p>
      <w:pPr>
        <w:pStyle w:val="BodyText"/>
        <w:spacing w:before="4"/>
        <w:rPr>
          <w:b/>
          <w:sz w:val="17"/>
        </w:rPr>
      </w:pPr>
    </w:p>
    <w:p>
      <w:pPr>
        <w:pStyle w:val="BodyText"/>
        <w:spacing w:line="276" w:lineRule="auto"/>
        <w:ind w:left="120" w:right="109"/>
        <w:jc w:val="both"/>
      </w:pPr>
      <w:r>
        <w:rPr/>
        <w:t>Issues like high executive compensation and related-party transactions within charter management</w:t>
      </w:r>
      <w:r>
        <w:rPr>
          <w:spacing w:val="-19"/>
        </w:rPr>
        <w:t> </w:t>
      </w:r>
      <w:r>
        <w:rPr/>
        <w:t>contribute</w:t>
      </w:r>
      <w:r>
        <w:rPr>
          <w:spacing w:val="-18"/>
        </w:rPr>
        <w:t> </w:t>
      </w:r>
      <w:r>
        <w:rPr/>
        <w:t>to</w:t>
      </w:r>
      <w:r>
        <w:rPr>
          <w:spacing w:val="-19"/>
        </w:rPr>
        <w:t> </w:t>
      </w:r>
      <w:r>
        <w:rPr/>
        <w:t>administrative</w:t>
      </w:r>
      <w:r>
        <w:rPr>
          <w:spacing w:val="-18"/>
        </w:rPr>
        <w:t> </w:t>
      </w:r>
      <w:r>
        <w:rPr/>
        <w:t>expenses</w:t>
      </w:r>
      <w:r>
        <w:rPr>
          <w:spacing w:val="-20"/>
        </w:rPr>
        <w:t> </w:t>
      </w:r>
      <w:r>
        <w:rPr/>
        <w:t>running</w:t>
      </w:r>
      <w:r>
        <w:rPr>
          <w:spacing w:val="-19"/>
        </w:rPr>
        <w:t> </w:t>
      </w:r>
      <w:r>
        <w:rPr/>
        <w:t>at</w:t>
      </w:r>
      <w:r>
        <w:rPr>
          <w:spacing w:val="-22"/>
        </w:rPr>
        <w:t> </w:t>
      </w:r>
      <w:r>
        <w:rPr/>
        <w:t>20.5%</w:t>
      </w:r>
      <w:r>
        <w:rPr>
          <w:spacing w:val="-18"/>
        </w:rPr>
        <w:t> </w:t>
      </w:r>
      <w:r>
        <w:rPr/>
        <w:t>of</w:t>
      </w:r>
      <w:r>
        <w:rPr>
          <w:spacing w:val="-18"/>
        </w:rPr>
        <w:t> </w:t>
      </w:r>
      <w:r>
        <w:rPr/>
        <w:t>total</w:t>
      </w:r>
      <w:r>
        <w:rPr>
          <w:spacing w:val="-20"/>
        </w:rPr>
        <w:t> </w:t>
      </w:r>
      <w:r>
        <w:rPr/>
        <w:t>charter</w:t>
      </w:r>
      <w:r>
        <w:rPr>
          <w:spacing w:val="-19"/>
        </w:rPr>
        <w:t> </w:t>
      </w:r>
      <w:r>
        <w:rPr/>
        <w:t>costs (the average is actually higher 22.3%</w:t>
      </w:r>
      <w:hyperlink w:history="true" w:anchor="_bookmark55">
        <w:r>
          <w:rPr>
            <w:position w:val="8"/>
            <w:sz w:val="16"/>
          </w:rPr>
          <w:t>20</w:t>
        </w:r>
      </w:hyperlink>
      <w:r>
        <w:rPr/>
        <w:t>) versus 10.35% at districts. It is apparent in classroom instruction of 45.3% versus district classroom spending 51.88% (Staff 2015). The</w:t>
      </w:r>
      <w:r>
        <w:rPr>
          <w:spacing w:val="-8"/>
        </w:rPr>
        <w:t> </w:t>
      </w:r>
      <w:r>
        <w:rPr/>
        <w:t>lack</w:t>
      </w:r>
      <w:r>
        <w:rPr>
          <w:spacing w:val="-11"/>
        </w:rPr>
        <w:t> </w:t>
      </w:r>
      <w:r>
        <w:rPr/>
        <w:t>of</w:t>
      </w:r>
      <w:r>
        <w:rPr>
          <w:spacing w:val="-8"/>
        </w:rPr>
        <w:t> </w:t>
      </w:r>
      <w:r>
        <w:rPr/>
        <w:t>spending</w:t>
      </w:r>
      <w:r>
        <w:rPr>
          <w:spacing w:val="-10"/>
        </w:rPr>
        <w:t> </w:t>
      </w:r>
      <w:r>
        <w:rPr/>
        <w:t>on</w:t>
      </w:r>
      <w:r>
        <w:rPr>
          <w:spacing w:val="-8"/>
        </w:rPr>
        <w:t> </w:t>
      </w:r>
      <w:r>
        <w:rPr/>
        <w:t>retirement</w:t>
      </w:r>
      <w:r>
        <w:rPr>
          <w:spacing w:val="-11"/>
        </w:rPr>
        <w:t> </w:t>
      </w:r>
      <w:r>
        <w:rPr/>
        <w:t>benefits</w:t>
      </w:r>
      <w:r>
        <w:rPr>
          <w:spacing w:val="-9"/>
        </w:rPr>
        <w:t> </w:t>
      </w:r>
      <w:r>
        <w:rPr/>
        <w:t>noted</w:t>
      </w:r>
      <w:r>
        <w:rPr>
          <w:spacing w:val="-11"/>
        </w:rPr>
        <w:t> </w:t>
      </w:r>
      <w:r>
        <w:rPr/>
        <w:t>earlier</w:t>
      </w:r>
      <w:r>
        <w:rPr>
          <w:spacing w:val="-9"/>
        </w:rPr>
        <w:t> </w:t>
      </w:r>
      <w:r>
        <w:rPr/>
        <w:t>is</w:t>
      </w:r>
      <w:r>
        <w:rPr>
          <w:spacing w:val="-10"/>
        </w:rPr>
        <w:t> </w:t>
      </w:r>
      <w:r>
        <w:rPr/>
        <w:t>reflected</w:t>
      </w:r>
      <w:r>
        <w:rPr>
          <w:spacing w:val="-11"/>
        </w:rPr>
        <w:t> </w:t>
      </w:r>
      <w:r>
        <w:rPr/>
        <w:t>in</w:t>
      </w:r>
      <w:r>
        <w:rPr>
          <w:spacing w:val="-4"/>
        </w:rPr>
        <w:t> </w:t>
      </w:r>
      <w:r>
        <w:rPr/>
        <w:t>the</w:t>
      </w:r>
      <w:r>
        <w:rPr>
          <w:spacing w:val="-8"/>
        </w:rPr>
        <w:t> </w:t>
      </w:r>
      <w:r>
        <w:rPr/>
        <w:t>low</w:t>
      </w:r>
      <w:r>
        <w:rPr>
          <w:spacing w:val="-12"/>
        </w:rPr>
        <w:t> </w:t>
      </w:r>
      <w:r>
        <w:rPr/>
        <w:t>classroom spending</w:t>
      </w:r>
      <w:r>
        <w:rPr>
          <w:spacing w:val="-16"/>
        </w:rPr>
        <w:t> </w:t>
      </w:r>
      <w:r>
        <w:rPr/>
        <w:t>numbers</w:t>
      </w:r>
      <w:r>
        <w:rPr>
          <w:spacing w:val="-18"/>
        </w:rPr>
        <w:t> </w:t>
      </w:r>
      <w:r>
        <w:rPr/>
        <w:t>of</w:t>
      </w:r>
      <w:r>
        <w:rPr>
          <w:spacing w:val="-12"/>
        </w:rPr>
        <w:t> </w:t>
      </w:r>
      <w:r>
        <w:rPr/>
        <w:t>charters.</w:t>
      </w:r>
      <w:r>
        <w:rPr>
          <w:spacing w:val="-18"/>
        </w:rPr>
        <w:t> </w:t>
      </w:r>
      <w:r>
        <w:rPr/>
        <w:t>This</w:t>
      </w:r>
      <w:r>
        <w:rPr>
          <w:spacing w:val="-18"/>
        </w:rPr>
        <w:t> </w:t>
      </w:r>
      <w:r>
        <w:rPr/>
        <w:t>type</w:t>
      </w:r>
      <w:r>
        <w:rPr>
          <w:spacing w:val="-14"/>
        </w:rPr>
        <w:t> </w:t>
      </w:r>
      <w:r>
        <w:rPr/>
        <w:t>of</w:t>
      </w:r>
      <w:r>
        <w:rPr>
          <w:spacing w:val="-12"/>
        </w:rPr>
        <w:t> </w:t>
      </w:r>
      <w:r>
        <w:rPr/>
        <w:t>spending</w:t>
      </w:r>
      <w:r>
        <w:rPr>
          <w:spacing w:val="-16"/>
        </w:rPr>
        <w:t> </w:t>
      </w:r>
      <w:r>
        <w:rPr/>
        <w:t>(pensions)</w:t>
      </w:r>
      <w:r>
        <w:rPr>
          <w:spacing w:val="-16"/>
        </w:rPr>
        <w:t> </w:t>
      </w:r>
      <w:r>
        <w:rPr/>
        <w:t>counts</w:t>
      </w:r>
      <w:r>
        <w:rPr>
          <w:spacing w:val="-14"/>
        </w:rPr>
        <w:t> </w:t>
      </w:r>
      <w:r>
        <w:rPr/>
        <w:t>toward</w:t>
      </w:r>
      <w:r>
        <w:rPr>
          <w:spacing w:val="-15"/>
        </w:rPr>
        <w:t> </w:t>
      </w:r>
      <w:r>
        <w:rPr/>
        <w:t>classroom spending.</w:t>
      </w:r>
    </w:p>
    <w:p>
      <w:pPr>
        <w:pStyle w:val="BodyText"/>
        <w:rPr>
          <w:sz w:val="20"/>
        </w:rPr>
      </w:pPr>
    </w:p>
    <w:p>
      <w:pPr>
        <w:pStyle w:val="BodyText"/>
        <w:rPr>
          <w:sz w:val="20"/>
        </w:rPr>
      </w:pPr>
    </w:p>
    <w:p>
      <w:pPr>
        <w:pStyle w:val="BodyText"/>
        <w:spacing w:before="7"/>
        <w:rPr>
          <w:sz w:val="22"/>
        </w:rPr>
      </w:pPr>
      <w:r>
        <w:rPr/>
        <w:pict>
          <v:line style="position:absolute;mso-position-horizontal-relative:page;mso-position-vertical-relative:paragraph;z-index:2368;mso-wrap-distance-left:0;mso-wrap-distance-right:0" from="72pt,15.327629pt" to="216pt,15.327629pt" stroked="true" strokeweight=".72pt" strokecolor="#000000">
            <v:stroke dashstyle="solid"/>
            <w10:wrap type="topAndBottom"/>
          </v:line>
        </w:pict>
      </w:r>
    </w:p>
    <w:p>
      <w:pPr>
        <w:spacing w:before="44"/>
        <w:ind w:left="120" w:right="117" w:firstLine="0"/>
        <w:jc w:val="both"/>
        <w:rPr>
          <w:rFonts w:ascii="Calibri" w:hAnsi="Calibri"/>
          <w:sz w:val="20"/>
        </w:rPr>
      </w:pPr>
      <w:bookmarkStart w:name="_bookmark55" w:id="56"/>
      <w:bookmarkEnd w:id="56"/>
      <w:r>
        <w:rPr/>
      </w:r>
      <w:r>
        <w:rPr>
          <w:rFonts w:ascii="Calibri" w:hAnsi="Calibri"/>
          <w:position w:val="7"/>
          <w:sz w:val="13"/>
        </w:rPr>
        <w:t>20 </w:t>
      </w:r>
      <w:r>
        <w:rPr>
          <w:rFonts w:ascii="Calibri" w:hAnsi="Calibri"/>
          <w:sz w:val="20"/>
        </w:rPr>
        <w:t>The data set used for the Annual Superintendent’s Report comes from the AFR figures on P 7. This figures should be</w:t>
      </w:r>
      <w:r>
        <w:rPr>
          <w:rFonts w:ascii="Calibri" w:hAnsi="Calibri"/>
          <w:spacing w:val="-5"/>
          <w:sz w:val="20"/>
        </w:rPr>
        <w:t> </w:t>
      </w:r>
      <w:r>
        <w:rPr>
          <w:rFonts w:ascii="Calibri" w:hAnsi="Calibri"/>
          <w:sz w:val="20"/>
        </w:rPr>
        <w:t>coming</w:t>
      </w:r>
      <w:r>
        <w:rPr>
          <w:rFonts w:ascii="Calibri" w:hAnsi="Calibri"/>
          <w:spacing w:val="-3"/>
          <w:sz w:val="20"/>
        </w:rPr>
        <w:t> </w:t>
      </w:r>
      <w:r>
        <w:rPr>
          <w:rFonts w:ascii="Calibri" w:hAnsi="Calibri"/>
          <w:sz w:val="20"/>
        </w:rPr>
        <w:t>from</w:t>
      </w:r>
      <w:r>
        <w:rPr>
          <w:rFonts w:ascii="Calibri" w:hAnsi="Calibri"/>
          <w:spacing w:val="-5"/>
          <w:sz w:val="20"/>
        </w:rPr>
        <w:t> </w:t>
      </w:r>
      <w:r>
        <w:rPr>
          <w:rFonts w:ascii="Calibri" w:hAnsi="Calibri"/>
          <w:sz w:val="20"/>
        </w:rPr>
        <w:t>the</w:t>
      </w:r>
      <w:r>
        <w:rPr>
          <w:rFonts w:ascii="Calibri" w:hAnsi="Calibri"/>
          <w:spacing w:val="-5"/>
          <w:sz w:val="20"/>
        </w:rPr>
        <w:t> </w:t>
      </w:r>
      <w:r>
        <w:rPr>
          <w:rFonts w:ascii="Calibri" w:hAnsi="Calibri"/>
          <w:sz w:val="20"/>
        </w:rPr>
        <w:t>information</w:t>
      </w:r>
      <w:r>
        <w:rPr>
          <w:rFonts w:ascii="Calibri" w:hAnsi="Calibri"/>
          <w:spacing w:val="-4"/>
          <w:sz w:val="20"/>
        </w:rPr>
        <w:t> </w:t>
      </w:r>
      <w:r>
        <w:rPr>
          <w:rFonts w:ascii="Calibri" w:hAnsi="Calibri"/>
          <w:sz w:val="20"/>
        </w:rPr>
        <w:t>on</w:t>
      </w:r>
      <w:r>
        <w:rPr>
          <w:rFonts w:ascii="Calibri" w:hAnsi="Calibri"/>
          <w:spacing w:val="-4"/>
          <w:sz w:val="20"/>
        </w:rPr>
        <w:t> </w:t>
      </w:r>
      <w:r>
        <w:rPr>
          <w:rFonts w:ascii="Calibri" w:hAnsi="Calibri"/>
          <w:sz w:val="20"/>
        </w:rPr>
        <w:t>Expenditures</w:t>
      </w:r>
      <w:r>
        <w:rPr>
          <w:rFonts w:ascii="Calibri" w:hAnsi="Calibri"/>
          <w:spacing w:val="-6"/>
          <w:sz w:val="20"/>
        </w:rPr>
        <w:t> </w:t>
      </w:r>
      <w:r>
        <w:rPr>
          <w:rFonts w:ascii="Calibri" w:hAnsi="Calibri"/>
          <w:sz w:val="20"/>
        </w:rPr>
        <w:t>on</w:t>
      </w:r>
      <w:r>
        <w:rPr>
          <w:rFonts w:ascii="Calibri" w:hAnsi="Calibri"/>
          <w:spacing w:val="-4"/>
          <w:sz w:val="20"/>
        </w:rPr>
        <w:t> </w:t>
      </w:r>
      <w:r>
        <w:rPr>
          <w:rFonts w:ascii="Calibri" w:hAnsi="Calibri"/>
          <w:sz w:val="20"/>
        </w:rPr>
        <w:t>P</w:t>
      </w:r>
      <w:r>
        <w:rPr>
          <w:rFonts w:ascii="Calibri" w:hAnsi="Calibri"/>
          <w:spacing w:val="-4"/>
          <w:sz w:val="20"/>
        </w:rPr>
        <w:t> </w:t>
      </w:r>
      <w:r>
        <w:rPr>
          <w:rFonts w:ascii="Calibri" w:hAnsi="Calibri"/>
          <w:sz w:val="20"/>
        </w:rPr>
        <w:t>2</w:t>
      </w:r>
      <w:r>
        <w:rPr>
          <w:rFonts w:ascii="Calibri" w:hAnsi="Calibri"/>
          <w:spacing w:val="-5"/>
          <w:sz w:val="20"/>
        </w:rPr>
        <w:t> </w:t>
      </w:r>
      <w:r>
        <w:rPr>
          <w:rFonts w:ascii="Calibri" w:hAnsi="Calibri"/>
          <w:sz w:val="20"/>
        </w:rPr>
        <w:t>of</w:t>
      </w:r>
      <w:r>
        <w:rPr>
          <w:rFonts w:ascii="Calibri" w:hAnsi="Calibri"/>
          <w:spacing w:val="-3"/>
          <w:sz w:val="20"/>
        </w:rPr>
        <w:t> </w:t>
      </w:r>
      <w:r>
        <w:rPr>
          <w:rFonts w:ascii="Calibri" w:hAnsi="Calibri"/>
          <w:sz w:val="20"/>
        </w:rPr>
        <w:t>the</w:t>
      </w:r>
      <w:r>
        <w:rPr>
          <w:rFonts w:ascii="Calibri" w:hAnsi="Calibri"/>
          <w:spacing w:val="-5"/>
          <w:sz w:val="20"/>
        </w:rPr>
        <w:t> </w:t>
      </w:r>
      <w:r>
        <w:rPr>
          <w:rFonts w:ascii="Calibri" w:hAnsi="Calibri"/>
          <w:sz w:val="20"/>
        </w:rPr>
        <w:t>same</w:t>
      </w:r>
      <w:r>
        <w:rPr>
          <w:rFonts w:ascii="Calibri" w:hAnsi="Calibri"/>
          <w:spacing w:val="-5"/>
          <w:sz w:val="20"/>
        </w:rPr>
        <w:t> </w:t>
      </w:r>
      <w:r>
        <w:rPr>
          <w:rFonts w:ascii="Calibri" w:hAnsi="Calibri"/>
          <w:sz w:val="20"/>
        </w:rPr>
        <w:t>document.</w:t>
      </w:r>
      <w:r>
        <w:rPr>
          <w:rFonts w:ascii="Calibri" w:hAnsi="Calibri"/>
          <w:spacing w:val="-4"/>
          <w:sz w:val="20"/>
        </w:rPr>
        <w:t> </w:t>
      </w:r>
      <w:r>
        <w:rPr>
          <w:rFonts w:ascii="Calibri" w:hAnsi="Calibri"/>
          <w:sz w:val="20"/>
        </w:rPr>
        <w:t>Calculating</w:t>
      </w:r>
      <w:r>
        <w:rPr>
          <w:rFonts w:ascii="Calibri" w:hAnsi="Calibri"/>
          <w:spacing w:val="-5"/>
          <w:sz w:val="20"/>
        </w:rPr>
        <w:t> </w:t>
      </w:r>
      <w:r>
        <w:rPr>
          <w:rFonts w:ascii="Calibri" w:hAnsi="Calibri"/>
          <w:sz w:val="20"/>
        </w:rPr>
        <w:t>cells</w:t>
      </w:r>
      <w:r>
        <w:rPr>
          <w:rFonts w:ascii="Calibri" w:hAnsi="Calibri"/>
          <w:spacing w:val="-6"/>
          <w:sz w:val="20"/>
        </w:rPr>
        <w:t> </w:t>
      </w:r>
      <w:r>
        <w:rPr>
          <w:rFonts w:ascii="Calibri" w:hAnsi="Calibri"/>
          <w:sz w:val="20"/>
        </w:rPr>
        <w:t>on</w:t>
      </w:r>
      <w:r>
        <w:rPr>
          <w:rFonts w:ascii="Calibri" w:hAnsi="Calibri"/>
          <w:spacing w:val="-4"/>
          <w:sz w:val="20"/>
        </w:rPr>
        <w:t> </w:t>
      </w:r>
      <w:r>
        <w:rPr>
          <w:rFonts w:ascii="Calibri" w:hAnsi="Calibri"/>
          <w:sz w:val="20"/>
        </w:rPr>
        <w:t>page</w:t>
      </w:r>
      <w:r>
        <w:rPr>
          <w:rFonts w:ascii="Calibri" w:hAnsi="Calibri"/>
          <w:spacing w:val="-3"/>
          <w:sz w:val="20"/>
        </w:rPr>
        <w:t> </w:t>
      </w:r>
      <w:r>
        <w:rPr>
          <w:rFonts w:ascii="Calibri" w:hAnsi="Calibri"/>
          <w:sz w:val="20"/>
        </w:rPr>
        <w:t>7</w:t>
      </w:r>
      <w:r>
        <w:rPr>
          <w:rFonts w:ascii="Calibri" w:hAnsi="Calibri"/>
          <w:spacing w:val="-5"/>
          <w:sz w:val="20"/>
        </w:rPr>
        <w:t> </w:t>
      </w:r>
      <w:r>
        <w:rPr>
          <w:rFonts w:ascii="Calibri" w:hAnsi="Calibri"/>
          <w:sz w:val="20"/>
        </w:rPr>
        <w:t>on</w:t>
      </w:r>
      <w:r>
        <w:rPr>
          <w:rFonts w:ascii="Calibri" w:hAnsi="Calibri"/>
          <w:spacing w:val="-4"/>
          <w:sz w:val="20"/>
        </w:rPr>
        <w:t> </w:t>
      </w:r>
      <w:r>
        <w:rPr>
          <w:rFonts w:ascii="Calibri" w:hAnsi="Calibri"/>
          <w:sz w:val="20"/>
        </w:rPr>
        <w:t>many of the documents had been turned off. The figures going to page 7 often excluded the 2500 account which is specifically called for in the directions. 2500 is normally where management center costs are calculated. The 22.3% figure</w:t>
      </w:r>
      <w:r>
        <w:rPr>
          <w:rFonts w:ascii="Calibri" w:hAnsi="Calibri"/>
          <w:spacing w:val="-9"/>
          <w:sz w:val="20"/>
        </w:rPr>
        <w:t> </w:t>
      </w:r>
      <w:r>
        <w:rPr>
          <w:rFonts w:ascii="Calibri" w:hAnsi="Calibri"/>
          <w:sz w:val="20"/>
        </w:rPr>
        <w:t>above</w:t>
      </w:r>
      <w:r>
        <w:rPr>
          <w:rFonts w:ascii="Calibri" w:hAnsi="Calibri"/>
          <w:spacing w:val="-9"/>
          <w:sz w:val="20"/>
        </w:rPr>
        <w:t> </w:t>
      </w:r>
      <w:r>
        <w:rPr>
          <w:rFonts w:ascii="Calibri" w:hAnsi="Calibri"/>
          <w:sz w:val="20"/>
        </w:rPr>
        <w:t>was</w:t>
      </w:r>
      <w:r>
        <w:rPr>
          <w:rFonts w:ascii="Calibri" w:hAnsi="Calibri"/>
          <w:spacing w:val="-9"/>
          <w:sz w:val="20"/>
        </w:rPr>
        <w:t> </w:t>
      </w:r>
      <w:r>
        <w:rPr>
          <w:rFonts w:ascii="Calibri" w:hAnsi="Calibri"/>
          <w:sz w:val="20"/>
        </w:rPr>
        <w:t>generated</w:t>
      </w:r>
      <w:r>
        <w:rPr>
          <w:rFonts w:ascii="Calibri" w:hAnsi="Calibri"/>
          <w:spacing w:val="-7"/>
          <w:sz w:val="20"/>
        </w:rPr>
        <w:t> </w:t>
      </w:r>
      <w:r>
        <w:rPr>
          <w:rFonts w:ascii="Calibri" w:hAnsi="Calibri"/>
          <w:sz w:val="20"/>
        </w:rPr>
        <w:t>by</w:t>
      </w:r>
      <w:r>
        <w:rPr>
          <w:rFonts w:ascii="Calibri" w:hAnsi="Calibri"/>
          <w:spacing w:val="-7"/>
          <w:sz w:val="20"/>
        </w:rPr>
        <w:t> </w:t>
      </w:r>
      <w:r>
        <w:rPr>
          <w:rFonts w:ascii="Calibri" w:hAnsi="Calibri"/>
          <w:sz w:val="20"/>
        </w:rPr>
        <w:t>performing</w:t>
      </w:r>
      <w:r>
        <w:rPr>
          <w:rFonts w:ascii="Calibri" w:hAnsi="Calibri"/>
          <w:spacing w:val="-8"/>
          <w:sz w:val="20"/>
        </w:rPr>
        <w:t> </w:t>
      </w:r>
      <w:r>
        <w:rPr>
          <w:rFonts w:ascii="Calibri" w:hAnsi="Calibri"/>
          <w:sz w:val="20"/>
        </w:rPr>
        <w:t>the</w:t>
      </w:r>
      <w:r>
        <w:rPr>
          <w:rFonts w:ascii="Calibri" w:hAnsi="Calibri"/>
          <w:spacing w:val="-9"/>
          <w:sz w:val="20"/>
        </w:rPr>
        <w:t> </w:t>
      </w:r>
      <w:r>
        <w:rPr>
          <w:rFonts w:ascii="Calibri" w:hAnsi="Calibri"/>
          <w:sz w:val="20"/>
        </w:rPr>
        <w:t>calculations</w:t>
      </w:r>
      <w:r>
        <w:rPr>
          <w:rFonts w:ascii="Calibri" w:hAnsi="Calibri"/>
          <w:spacing w:val="-9"/>
          <w:sz w:val="20"/>
        </w:rPr>
        <w:t> </w:t>
      </w:r>
      <w:r>
        <w:rPr>
          <w:rFonts w:ascii="Calibri" w:hAnsi="Calibri"/>
          <w:sz w:val="20"/>
        </w:rPr>
        <w:t>from</w:t>
      </w:r>
      <w:r>
        <w:rPr>
          <w:rFonts w:ascii="Calibri" w:hAnsi="Calibri"/>
          <w:spacing w:val="-9"/>
          <w:sz w:val="20"/>
        </w:rPr>
        <w:t> </w:t>
      </w:r>
      <w:r>
        <w:rPr>
          <w:rFonts w:ascii="Calibri" w:hAnsi="Calibri"/>
          <w:sz w:val="20"/>
        </w:rPr>
        <w:t>P</w:t>
      </w:r>
      <w:r>
        <w:rPr>
          <w:rFonts w:ascii="Calibri" w:hAnsi="Calibri"/>
          <w:spacing w:val="-8"/>
          <w:sz w:val="20"/>
        </w:rPr>
        <w:t> </w:t>
      </w:r>
      <w:r>
        <w:rPr>
          <w:rFonts w:ascii="Calibri" w:hAnsi="Calibri"/>
          <w:sz w:val="20"/>
        </w:rPr>
        <w:t>10</w:t>
      </w:r>
      <w:r>
        <w:rPr>
          <w:rFonts w:ascii="Calibri" w:hAnsi="Calibri"/>
          <w:spacing w:val="-8"/>
          <w:sz w:val="20"/>
        </w:rPr>
        <w:t> </w:t>
      </w:r>
      <w:r>
        <w:rPr>
          <w:rFonts w:ascii="Calibri" w:hAnsi="Calibri"/>
          <w:sz w:val="20"/>
        </w:rPr>
        <w:t>of</w:t>
      </w:r>
      <w:r>
        <w:rPr>
          <w:rFonts w:ascii="Calibri" w:hAnsi="Calibri"/>
          <w:spacing w:val="-9"/>
          <w:sz w:val="20"/>
        </w:rPr>
        <w:t> </w:t>
      </w:r>
      <w:r>
        <w:rPr>
          <w:rFonts w:ascii="Calibri" w:hAnsi="Calibri"/>
          <w:sz w:val="20"/>
        </w:rPr>
        <w:t>the</w:t>
      </w:r>
      <w:r>
        <w:rPr>
          <w:rFonts w:ascii="Calibri" w:hAnsi="Calibri"/>
          <w:spacing w:val="-9"/>
          <w:sz w:val="20"/>
        </w:rPr>
        <w:t> </w:t>
      </w:r>
      <w:r>
        <w:rPr>
          <w:rFonts w:ascii="Calibri" w:hAnsi="Calibri"/>
          <w:sz w:val="20"/>
        </w:rPr>
        <w:t>AFR</w:t>
      </w:r>
      <w:r>
        <w:rPr>
          <w:rFonts w:ascii="Calibri" w:hAnsi="Calibri"/>
          <w:spacing w:val="-8"/>
          <w:sz w:val="20"/>
        </w:rPr>
        <w:t> </w:t>
      </w:r>
      <w:r>
        <w:rPr>
          <w:rFonts w:ascii="Calibri" w:hAnsi="Calibri"/>
          <w:sz w:val="20"/>
        </w:rPr>
        <w:t>related</w:t>
      </w:r>
      <w:r>
        <w:rPr>
          <w:rFonts w:ascii="Calibri" w:hAnsi="Calibri"/>
          <w:spacing w:val="-7"/>
          <w:sz w:val="20"/>
        </w:rPr>
        <w:t> </w:t>
      </w:r>
      <w:r>
        <w:rPr>
          <w:rFonts w:ascii="Calibri" w:hAnsi="Calibri"/>
          <w:sz w:val="20"/>
        </w:rPr>
        <w:t>to</w:t>
      </w:r>
      <w:r>
        <w:rPr>
          <w:rFonts w:ascii="Calibri" w:hAnsi="Calibri"/>
          <w:spacing w:val="28"/>
          <w:sz w:val="20"/>
        </w:rPr>
        <w:t> </w:t>
      </w:r>
      <w:r>
        <w:rPr>
          <w:rFonts w:ascii="Calibri" w:hAnsi="Calibri"/>
          <w:sz w:val="20"/>
        </w:rPr>
        <w:t>administrative</w:t>
      </w:r>
      <w:r>
        <w:rPr>
          <w:rFonts w:ascii="Calibri" w:hAnsi="Calibri"/>
          <w:spacing w:val="-9"/>
          <w:sz w:val="20"/>
        </w:rPr>
        <w:t> </w:t>
      </w:r>
      <w:r>
        <w:rPr>
          <w:rFonts w:ascii="Calibri" w:hAnsi="Calibri"/>
          <w:sz w:val="20"/>
        </w:rPr>
        <w:t>costs.</w:t>
      </w:r>
      <w:r>
        <w:rPr>
          <w:rFonts w:ascii="Calibri" w:hAnsi="Calibri"/>
          <w:spacing w:val="-8"/>
          <w:sz w:val="20"/>
        </w:rPr>
        <w:t> </w:t>
      </w:r>
      <w:r>
        <w:rPr>
          <w:rFonts w:ascii="Calibri" w:hAnsi="Calibri"/>
          <w:sz w:val="20"/>
        </w:rPr>
        <w:t>The calculations</w:t>
      </w:r>
      <w:r>
        <w:rPr>
          <w:rFonts w:ascii="Calibri" w:hAnsi="Calibri"/>
          <w:spacing w:val="-9"/>
          <w:sz w:val="20"/>
        </w:rPr>
        <w:t> </w:t>
      </w:r>
      <w:r>
        <w:rPr>
          <w:rFonts w:ascii="Calibri" w:hAnsi="Calibri"/>
          <w:sz w:val="20"/>
        </w:rPr>
        <w:t>were</w:t>
      </w:r>
      <w:r>
        <w:rPr>
          <w:rFonts w:ascii="Calibri" w:hAnsi="Calibri"/>
          <w:spacing w:val="-8"/>
          <w:sz w:val="20"/>
        </w:rPr>
        <w:t> </w:t>
      </w:r>
      <w:r>
        <w:rPr>
          <w:rFonts w:ascii="Calibri" w:hAnsi="Calibri"/>
          <w:sz w:val="20"/>
        </w:rPr>
        <w:t>performed</w:t>
      </w:r>
      <w:r>
        <w:rPr>
          <w:rFonts w:ascii="Calibri" w:hAnsi="Calibri"/>
          <w:spacing w:val="-4"/>
          <w:sz w:val="20"/>
        </w:rPr>
        <w:t> </w:t>
      </w:r>
      <w:r>
        <w:rPr>
          <w:rFonts w:ascii="Calibri" w:hAnsi="Calibri"/>
          <w:sz w:val="20"/>
        </w:rPr>
        <w:t>on</w:t>
      </w:r>
      <w:r>
        <w:rPr>
          <w:rFonts w:ascii="Calibri" w:hAnsi="Calibri"/>
          <w:spacing w:val="-7"/>
          <w:sz w:val="20"/>
        </w:rPr>
        <w:t> </w:t>
      </w:r>
      <w:r>
        <w:rPr>
          <w:rFonts w:ascii="Calibri" w:hAnsi="Calibri"/>
          <w:sz w:val="20"/>
        </w:rPr>
        <w:t>EVERY</w:t>
      </w:r>
      <w:r>
        <w:rPr>
          <w:rFonts w:ascii="Calibri" w:hAnsi="Calibri"/>
          <w:spacing w:val="-10"/>
          <w:sz w:val="20"/>
        </w:rPr>
        <w:t> </w:t>
      </w:r>
      <w:r>
        <w:rPr>
          <w:rFonts w:ascii="Calibri" w:hAnsi="Calibri"/>
          <w:sz w:val="20"/>
        </w:rPr>
        <w:t>AFR</w:t>
      </w:r>
      <w:r>
        <w:rPr>
          <w:rFonts w:ascii="Calibri" w:hAnsi="Calibri"/>
          <w:spacing w:val="-6"/>
          <w:sz w:val="20"/>
        </w:rPr>
        <w:t> </w:t>
      </w:r>
      <w:r>
        <w:rPr>
          <w:rFonts w:ascii="Calibri" w:hAnsi="Calibri"/>
          <w:sz w:val="20"/>
        </w:rPr>
        <w:t>for</w:t>
      </w:r>
      <w:r>
        <w:rPr>
          <w:rFonts w:ascii="Calibri" w:hAnsi="Calibri"/>
          <w:spacing w:val="-7"/>
          <w:sz w:val="20"/>
        </w:rPr>
        <w:t> </w:t>
      </w:r>
      <w:r>
        <w:rPr>
          <w:rFonts w:ascii="Calibri" w:hAnsi="Calibri"/>
          <w:sz w:val="20"/>
        </w:rPr>
        <w:t>2014-2015.</w:t>
      </w:r>
    </w:p>
    <w:p>
      <w:pPr>
        <w:spacing w:after="0"/>
        <w:jc w:val="both"/>
        <w:rPr>
          <w:rFonts w:ascii="Calibri" w:hAnsi="Calibri"/>
          <w:sz w:val="20"/>
        </w:rPr>
        <w:sectPr>
          <w:footerReference w:type="default" r:id="rId53"/>
          <w:pgSz w:w="12240" w:h="15840"/>
          <w:pgMar w:footer="1002" w:header="740" w:top="940" w:bottom="1200" w:left="1320" w:right="1320"/>
          <w:pgNumType w:start="61"/>
        </w:sectPr>
      </w:pPr>
    </w:p>
    <w:p>
      <w:pPr>
        <w:pStyle w:val="BodyText"/>
        <w:rPr>
          <w:rFonts w:ascii="Calibri"/>
          <w:sz w:val="20"/>
        </w:rPr>
      </w:pPr>
    </w:p>
    <w:p>
      <w:pPr>
        <w:pStyle w:val="BodyText"/>
        <w:spacing w:before="5"/>
        <w:rPr>
          <w:rFonts w:ascii="Calibri"/>
          <w:sz w:val="19"/>
        </w:rPr>
      </w:pPr>
    </w:p>
    <w:p>
      <w:pPr>
        <w:pStyle w:val="BodyText"/>
        <w:spacing w:line="276" w:lineRule="auto"/>
        <w:ind w:left="120" w:right="108"/>
        <w:jc w:val="both"/>
      </w:pPr>
      <w:r>
        <w:rPr/>
        <w:t>Charters</w:t>
      </w:r>
      <w:r>
        <w:rPr>
          <w:spacing w:val="-7"/>
        </w:rPr>
        <w:t> </w:t>
      </w:r>
      <w:r>
        <w:rPr/>
        <w:t>may</w:t>
      </w:r>
      <w:r>
        <w:rPr>
          <w:spacing w:val="-7"/>
        </w:rPr>
        <w:t> </w:t>
      </w:r>
      <w:r>
        <w:rPr/>
        <w:t>claim</w:t>
      </w:r>
      <w:r>
        <w:rPr>
          <w:spacing w:val="-5"/>
        </w:rPr>
        <w:t> </w:t>
      </w:r>
      <w:r>
        <w:rPr/>
        <w:t>as</w:t>
      </w:r>
      <w:r>
        <w:rPr>
          <w:spacing w:val="-7"/>
        </w:rPr>
        <w:t> </w:t>
      </w:r>
      <w:r>
        <w:rPr/>
        <w:t>noted</w:t>
      </w:r>
      <w:r>
        <w:rPr>
          <w:spacing w:val="-4"/>
        </w:rPr>
        <w:t> </w:t>
      </w:r>
      <w:r>
        <w:rPr/>
        <w:t>in</w:t>
      </w:r>
      <w:r>
        <w:rPr>
          <w:spacing w:val="-6"/>
        </w:rPr>
        <w:t> </w:t>
      </w:r>
      <w:r>
        <w:rPr/>
        <w:t>the</w:t>
      </w:r>
      <w:r>
        <w:rPr>
          <w:spacing w:val="-4"/>
        </w:rPr>
        <w:t> </w:t>
      </w:r>
      <w:r>
        <w:rPr/>
        <w:t>report,</w:t>
      </w:r>
      <w:r>
        <w:rPr>
          <w:spacing w:val="-3"/>
        </w:rPr>
        <w:t> </w:t>
      </w:r>
      <w:r>
        <w:rPr>
          <w:u w:val="single"/>
        </w:rPr>
        <w:t>Calculation</w:t>
      </w:r>
      <w:r>
        <w:rPr>
          <w:spacing w:val="-5"/>
          <w:u w:val="single"/>
        </w:rPr>
        <w:t> </w:t>
      </w:r>
      <w:r>
        <w:rPr>
          <w:u w:val="single"/>
        </w:rPr>
        <w:t>and</w:t>
      </w:r>
      <w:r>
        <w:rPr>
          <w:spacing w:val="-6"/>
          <w:u w:val="single"/>
        </w:rPr>
        <w:t> </w:t>
      </w:r>
      <w:r>
        <w:rPr>
          <w:u w:val="single"/>
        </w:rPr>
        <w:t>Issues</w:t>
      </w:r>
      <w:r>
        <w:rPr>
          <w:spacing w:val="-7"/>
          <w:u w:val="single"/>
        </w:rPr>
        <w:t> </w:t>
      </w:r>
      <w:r>
        <w:rPr>
          <w:u w:val="single"/>
        </w:rPr>
        <w:t>Related</w:t>
      </w:r>
      <w:r>
        <w:rPr>
          <w:spacing w:val="-6"/>
          <w:u w:val="single"/>
        </w:rPr>
        <w:t> </w:t>
      </w:r>
      <w:r>
        <w:rPr>
          <w:u w:val="single"/>
        </w:rPr>
        <w:t>to</w:t>
      </w:r>
      <w:r>
        <w:rPr>
          <w:spacing w:val="-3"/>
          <w:u w:val="single"/>
        </w:rPr>
        <w:t> </w:t>
      </w:r>
      <w:r>
        <w:rPr>
          <w:u w:val="single"/>
        </w:rPr>
        <w:t>Percentage</w:t>
      </w:r>
      <w:r>
        <w:rPr/>
        <w:t> </w:t>
      </w:r>
      <w:r>
        <w:rPr>
          <w:u w:val="single"/>
        </w:rPr>
        <w:t>of Dollars in the Classroom,</w:t>
      </w:r>
      <w:r>
        <w:rPr/>
        <w:t> that spending is not accurately categorized for comparison. The report noted issues with using standard school coding systems for expenditures at charter schools and decried the flexibility charters have to re-classify some types of expenses in their books (Calles</w:t>
      </w:r>
      <w:r>
        <w:rPr>
          <w:spacing w:val="-39"/>
        </w:rPr>
        <w:t> </w:t>
      </w:r>
      <w:r>
        <w:rPr/>
        <w:t>2015).</w:t>
      </w:r>
    </w:p>
    <w:p>
      <w:pPr>
        <w:spacing w:line="276" w:lineRule="auto" w:before="197"/>
        <w:ind w:left="120" w:right="112" w:firstLine="0"/>
        <w:jc w:val="both"/>
        <w:rPr>
          <w:sz w:val="24"/>
        </w:rPr>
      </w:pPr>
      <w:r>
        <w:rPr>
          <w:sz w:val="24"/>
        </w:rPr>
        <w:t>Stated another way, </w:t>
      </w:r>
      <w:r>
        <w:rPr>
          <w:i/>
          <w:sz w:val="24"/>
        </w:rPr>
        <w:t>the problem is worse than it manifests itself in the data in the </w:t>
      </w:r>
      <w:r>
        <w:rPr>
          <w:i/>
          <w:sz w:val="24"/>
        </w:rPr>
        <w:t>Superintendent’s report</w:t>
      </w:r>
      <w:r>
        <w:rPr>
          <w:sz w:val="24"/>
        </w:rPr>
        <w:t>. As is shown in the data collected for the full report, the AFR numbers</w:t>
      </w:r>
      <w:r>
        <w:rPr>
          <w:spacing w:val="-5"/>
          <w:sz w:val="24"/>
        </w:rPr>
        <w:t> </w:t>
      </w:r>
      <w:r>
        <w:rPr>
          <w:sz w:val="24"/>
        </w:rPr>
        <w:t>are</w:t>
      </w:r>
      <w:r>
        <w:rPr>
          <w:spacing w:val="-7"/>
          <w:sz w:val="24"/>
        </w:rPr>
        <w:t> </w:t>
      </w:r>
      <w:r>
        <w:rPr>
          <w:sz w:val="24"/>
        </w:rPr>
        <w:t>often</w:t>
      </w:r>
      <w:r>
        <w:rPr>
          <w:spacing w:val="-4"/>
          <w:sz w:val="24"/>
        </w:rPr>
        <w:t> </w:t>
      </w:r>
      <w:r>
        <w:rPr>
          <w:sz w:val="24"/>
        </w:rPr>
        <w:t>contradicted</w:t>
      </w:r>
      <w:r>
        <w:rPr>
          <w:spacing w:val="-6"/>
          <w:sz w:val="24"/>
        </w:rPr>
        <w:t> </w:t>
      </w:r>
      <w:r>
        <w:rPr>
          <w:sz w:val="24"/>
        </w:rPr>
        <w:t>by</w:t>
      </w:r>
      <w:r>
        <w:rPr>
          <w:spacing w:val="-3"/>
          <w:sz w:val="24"/>
        </w:rPr>
        <w:t> </w:t>
      </w:r>
      <w:hyperlink w:history="true" w:anchor="_bookmark68">
        <w:r>
          <w:rPr>
            <w:b/>
            <w:color w:val="4F81BC"/>
            <w:sz w:val="24"/>
          </w:rPr>
          <w:t>data</w:t>
        </w:r>
        <w:r>
          <w:rPr>
            <w:b/>
            <w:color w:val="4F81BC"/>
            <w:spacing w:val="-7"/>
            <w:sz w:val="24"/>
          </w:rPr>
          <w:t> </w:t>
        </w:r>
        <w:r>
          <w:rPr>
            <w:b/>
            <w:color w:val="4F81BC"/>
            <w:sz w:val="24"/>
          </w:rPr>
          <w:t>within</w:t>
        </w:r>
        <w:r>
          <w:rPr>
            <w:b/>
            <w:color w:val="4F81BC"/>
            <w:spacing w:val="-5"/>
            <w:sz w:val="24"/>
          </w:rPr>
          <w:t> </w:t>
        </w:r>
        <w:r>
          <w:rPr>
            <w:b/>
            <w:color w:val="4F81BC"/>
            <w:sz w:val="24"/>
          </w:rPr>
          <w:t>the</w:t>
        </w:r>
        <w:r>
          <w:rPr>
            <w:b/>
            <w:color w:val="4F81BC"/>
            <w:spacing w:val="-4"/>
            <w:sz w:val="24"/>
          </w:rPr>
          <w:t> </w:t>
        </w:r>
        <w:r>
          <w:rPr>
            <w:b/>
            <w:color w:val="4F81BC"/>
            <w:sz w:val="24"/>
          </w:rPr>
          <w:t>same</w:t>
        </w:r>
        <w:r>
          <w:rPr>
            <w:b/>
            <w:color w:val="4F81BC"/>
            <w:spacing w:val="-3"/>
            <w:sz w:val="24"/>
          </w:rPr>
          <w:t> </w:t>
        </w:r>
        <w:r>
          <w:rPr>
            <w:b/>
            <w:color w:val="4F81BC"/>
            <w:sz w:val="24"/>
          </w:rPr>
          <w:t>document</w:t>
        </w:r>
      </w:hyperlink>
      <w:r>
        <w:rPr>
          <w:sz w:val="24"/>
        </w:rPr>
        <w:t>.</w:t>
      </w:r>
      <w:r>
        <w:rPr>
          <w:spacing w:val="-4"/>
          <w:sz w:val="24"/>
        </w:rPr>
        <w:t> </w:t>
      </w:r>
      <w:r>
        <w:rPr>
          <w:sz w:val="24"/>
        </w:rPr>
        <w:t>This</w:t>
      </w:r>
      <w:r>
        <w:rPr>
          <w:spacing w:val="-7"/>
          <w:sz w:val="24"/>
        </w:rPr>
        <w:t> </w:t>
      </w:r>
      <w:r>
        <w:rPr>
          <w:sz w:val="24"/>
        </w:rPr>
        <w:t>fact</w:t>
      </w:r>
      <w:r>
        <w:rPr>
          <w:spacing w:val="-4"/>
          <w:sz w:val="24"/>
        </w:rPr>
        <w:t> </w:t>
      </w:r>
      <w:r>
        <w:rPr>
          <w:sz w:val="24"/>
        </w:rPr>
        <w:t>drove</w:t>
      </w:r>
      <w:r>
        <w:rPr>
          <w:spacing w:val="-4"/>
          <w:sz w:val="24"/>
        </w:rPr>
        <w:t> </w:t>
      </w:r>
      <w:r>
        <w:rPr>
          <w:sz w:val="24"/>
        </w:rPr>
        <w:t>the forensic method used to get to the truth regarding how money is being spent in charter organizations.</w:t>
      </w:r>
    </w:p>
    <w:p>
      <w:pPr>
        <w:pStyle w:val="BodyText"/>
        <w:spacing w:line="278" w:lineRule="auto" w:before="200"/>
        <w:ind w:left="120" w:right="120"/>
        <w:jc w:val="both"/>
      </w:pPr>
      <w:r>
        <w:rPr/>
        <w:t>The ASBCS' report’s conclusion, that the data collected is not accurate, is confirmed in the full report’s data, conclusions and recommendations.</w:t>
      </w:r>
    </w:p>
    <w:p>
      <w:pPr>
        <w:pStyle w:val="BodyText"/>
        <w:spacing w:line="273" w:lineRule="auto" w:before="197"/>
        <w:ind w:left="120" w:right="108"/>
        <w:jc w:val="both"/>
      </w:pPr>
      <w:r>
        <w:rPr/>
        <w:t>As</w:t>
      </w:r>
      <w:r>
        <w:rPr>
          <w:spacing w:val="-8"/>
        </w:rPr>
        <w:t> </w:t>
      </w:r>
      <w:r>
        <w:rPr/>
        <w:t>a</w:t>
      </w:r>
      <w:r>
        <w:rPr>
          <w:spacing w:val="-9"/>
        </w:rPr>
        <w:t> </w:t>
      </w:r>
      <w:r>
        <w:rPr/>
        <w:t>point</w:t>
      </w:r>
      <w:r>
        <w:rPr>
          <w:spacing w:val="-9"/>
        </w:rPr>
        <w:t> </w:t>
      </w:r>
      <w:r>
        <w:rPr/>
        <w:t>of</w:t>
      </w:r>
      <w:r>
        <w:rPr>
          <w:spacing w:val="-5"/>
        </w:rPr>
        <w:t> </w:t>
      </w:r>
      <w:r>
        <w:rPr/>
        <w:t>comparison</w:t>
      </w:r>
      <w:r>
        <w:rPr>
          <w:spacing w:val="-7"/>
        </w:rPr>
        <w:t> </w:t>
      </w:r>
      <w:r>
        <w:rPr/>
        <w:t>in</w:t>
      </w:r>
      <w:r>
        <w:rPr>
          <w:spacing w:val="-10"/>
        </w:rPr>
        <w:t> </w:t>
      </w:r>
      <w:r>
        <w:rPr/>
        <w:t>2014-2015</w:t>
      </w:r>
      <w:r>
        <w:rPr>
          <w:spacing w:val="-9"/>
        </w:rPr>
        <w:t> </w:t>
      </w:r>
      <w:r>
        <w:rPr/>
        <w:t>districts</w:t>
      </w:r>
      <w:r>
        <w:rPr>
          <w:spacing w:val="-7"/>
        </w:rPr>
        <w:t> </w:t>
      </w:r>
      <w:r>
        <w:rPr/>
        <w:t>spent</w:t>
      </w:r>
      <w:r>
        <w:rPr>
          <w:spacing w:val="-7"/>
        </w:rPr>
        <w:t> </w:t>
      </w:r>
      <w:r>
        <w:rPr/>
        <w:t>51.49%</w:t>
      </w:r>
      <w:r>
        <w:rPr>
          <w:spacing w:val="-8"/>
        </w:rPr>
        <w:t> </w:t>
      </w:r>
      <w:r>
        <w:rPr/>
        <w:t>on</w:t>
      </w:r>
      <w:r>
        <w:rPr>
          <w:spacing w:val="-7"/>
        </w:rPr>
        <w:t> </w:t>
      </w:r>
      <w:r>
        <w:rPr/>
        <w:t>Classroom</w:t>
      </w:r>
      <w:r>
        <w:rPr>
          <w:spacing w:val="-6"/>
        </w:rPr>
        <w:t> </w:t>
      </w:r>
      <w:r>
        <w:rPr/>
        <w:t>Instruction</w:t>
      </w:r>
      <w:hyperlink w:history="true" w:anchor="_bookmark57">
        <w:r>
          <w:rPr>
            <w:position w:val="8"/>
            <w:sz w:val="16"/>
          </w:rPr>
          <w:t>21</w:t>
        </w:r>
      </w:hyperlink>
      <w:r>
        <w:rPr>
          <w:position w:val="8"/>
          <w:sz w:val="16"/>
        </w:rPr>
        <w:t> </w:t>
      </w:r>
      <w:r>
        <w:rPr/>
        <w:t>compared</w:t>
      </w:r>
      <w:r>
        <w:rPr>
          <w:spacing w:val="-13"/>
        </w:rPr>
        <w:t> </w:t>
      </w:r>
      <w:r>
        <w:rPr/>
        <w:t>to</w:t>
      </w:r>
      <w:r>
        <w:rPr>
          <w:spacing w:val="-13"/>
        </w:rPr>
        <w:t> </w:t>
      </w:r>
      <w:r>
        <w:rPr/>
        <w:t>47.46%</w:t>
      </w:r>
      <w:r>
        <w:rPr>
          <w:spacing w:val="-14"/>
        </w:rPr>
        <w:t> </w:t>
      </w:r>
      <w:r>
        <w:rPr/>
        <w:t>at</w:t>
      </w:r>
      <w:r>
        <w:rPr>
          <w:spacing w:val="-13"/>
        </w:rPr>
        <w:t> </w:t>
      </w:r>
      <w:r>
        <w:rPr/>
        <w:t>Charters.</w:t>
      </w:r>
      <w:r>
        <w:rPr>
          <w:spacing w:val="-14"/>
        </w:rPr>
        <w:t> </w:t>
      </w:r>
      <w:r>
        <w:rPr/>
        <w:t>Data</w:t>
      </w:r>
      <w:r>
        <w:rPr>
          <w:spacing w:val="-15"/>
        </w:rPr>
        <w:t> </w:t>
      </w:r>
      <w:r>
        <w:rPr/>
        <w:t>from</w:t>
      </w:r>
      <w:r>
        <w:rPr>
          <w:spacing w:val="-13"/>
        </w:rPr>
        <w:t> </w:t>
      </w:r>
      <w:r>
        <w:rPr/>
        <w:t>10</w:t>
      </w:r>
      <w:r>
        <w:rPr>
          <w:spacing w:val="-11"/>
        </w:rPr>
        <w:t> </w:t>
      </w:r>
      <w:r>
        <w:rPr/>
        <w:t>years</w:t>
      </w:r>
      <w:r>
        <w:rPr>
          <w:spacing w:val="-12"/>
        </w:rPr>
        <w:t> </w:t>
      </w:r>
      <w:r>
        <w:rPr/>
        <w:t>of</w:t>
      </w:r>
      <w:r>
        <w:rPr>
          <w:spacing w:val="-11"/>
        </w:rPr>
        <w:t> </w:t>
      </w:r>
      <w:r>
        <w:rPr/>
        <w:t>Classroom</w:t>
      </w:r>
      <w:r>
        <w:rPr>
          <w:spacing w:val="-12"/>
        </w:rPr>
        <w:t> </w:t>
      </w:r>
      <w:r>
        <w:rPr/>
        <w:t>Instruction</w:t>
      </w:r>
      <w:r>
        <w:rPr>
          <w:spacing w:val="-13"/>
        </w:rPr>
        <w:t> </w:t>
      </w:r>
      <w:r>
        <w:rPr/>
        <w:t>is</w:t>
      </w:r>
      <w:r>
        <w:rPr>
          <w:spacing w:val="-12"/>
        </w:rPr>
        <w:t> </w:t>
      </w:r>
      <w:r>
        <w:rPr/>
        <w:t>included in the data</w:t>
      </w:r>
      <w:r>
        <w:rPr>
          <w:spacing w:val="-18"/>
        </w:rPr>
        <w:t> </w:t>
      </w:r>
      <w:r>
        <w:rPr/>
        <w:t>set.</w:t>
      </w:r>
    </w:p>
    <w:p>
      <w:pPr>
        <w:pStyle w:val="Heading2"/>
        <w:spacing w:before="202"/>
        <w:jc w:val="both"/>
      </w:pPr>
      <w:bookmarkStart w:name="_bookmark56" w:id="57"/>
      <w:bookmarkEnd w:id="57"/>
      <w:r>
        <w:rPr>
          <w:b w:val="0"/>
        </w:rPr>
      </w:r>
      <w:r>
        <w:rPr>
          <w:color w:val="4F81BC"/>
        </w:rPr>
        <w:t>Administrative Accounting at Charters is Fatally Flawed</w:t>
      </w:r>
    </w:p>
    <w:p>
      <w:pPr>
        <w:pStyle w:val="BodyText"/>
        <w:spacing w:line="278" w:lineRule="auto" w:before="41"/>
        <w:ind w:left="120" w:right="115"/>
        <w:jc w:val="both"/>
      </w:pPr>
      <w:r>
        <w:rPr/>
        <w:t>The documents used for collecting data on administrative costs and general financial practices in charters are fatally flawed. The current system is unable to capture the true cost of the ownership (management costs) of charter schools.</w:t>
      </w:r>
    </w:p>
    <w:p>
      <w:pPr>
        <w:pStyle w:val="BodyText"/>
        <w:spacing w:line="276" w:lineRule="auto" w:before="197"/>
        <w:ind w:left="120" w:right="106"/>
        <w:jc w:val="both"/>
      </w:pPr>
      <w:r>
        <w:rPr/>
        <w:t>The tools used to monitor charter finances are not up to the issue of related-party transactions with for-profits that in turn pay out distributions to the owners of those for profits. The owners are the same owners that hold the charter for the non-profit school. Salaries paid in the “for-profits” are unavailable to the public. Transactions like these are deeply embedded in the finances and governance at our charter and private schools. These</w:t>
      </w:r>
      <w:r>
        <w:rPr>
          <w:spacing w:val="-12"/>
        </w:rPr>
        <w:t> </w:t>
      </w:r>
      <w:r>
        <w:rPr/>
        <w:t>are</w:t>
      </w:r>
      <w:r>
        <w:rPr>
          <w:spacing w:val="-12"/>
        </w:rPr>
        <w:t> </w:t>
      </w:r>
      <w:r>
        <w:rPr/>
        <w:t>transactions</w:t>
      </w:r>
      <w:r>
        <w:rPr>
          <w:spacing w:val="-15"/>
        </w:rPr>
        <w:t> </w:t>
      </w:r>
      <w:r>
        <w:rPr/>
        <w:t>that</w:t>
      </w:r>
      <w:r>
        <w:rPr>
          <w:spacing w:val="-14"/>
        </w:rPr>
        <w:t> </w:t>
      </w:r>
      <w:r>
        <w:rPr/>
        <w:t>often</w:t>
      </w:r>
      <w:r>
        <w:rPr>
          <w:spacing w:val="-12"/>
        </w:rPr>
        <w:t> </w:t>
      </w:r>
      <w:r>
        <w:rPr/>
        <w:t>go</w:t>
      </w:r>
      <w:r>
        <w:rPr>
          <w:spacing w:val="-12"/>
        </w:rPr>
        <w:t> </w:t>
      </w:r>
      <w:r>
        <w:rPr/>
        <w:t>to</w:t>
      </w:r>
      <w:r>
        <w:rPr>
          <w:spacing w:val="-14"/>
        </w:rPr>
        <w:t> </w:t>
      </w:r>
      <w:r>
        <w:rPr/>
        <w:t>management’s</w:t>
      </w:r>
      <w:r>
        <w:rPr>
          <w:spacing w:val="-12"/>
        </w:rPr>
        <w:t> </w:t>
      </w:r>
      <w:r>
        <w:rPr/>
        <w:t>bottom</w:t>
      </w:r>
      <w:r>
        <w:rPr>
          <w:spacing w:val="-11"/>
        </w:rPr>
        <w:t> </w:t>
      </w:r>
      <w:r>
        <w:rPr/>
        <w:t>line.</w:t>
      </w:r>
      <w:r>
        <w:rPr>
          <w:spacing w:val="-14"/>
        </w:rPr>
        <w:t> </w:t>
      </w:r>
      <w:r>
        <w:rPr/>
        <w:t>The</w:t>
      </w:r>
      <w:r>
        <w:rPr>
          <w:spacing w:val="-12"/>
        </w:rPr>
        <w:t> </w:t>
      </w:r>
      <w:r>
        <w:rPr/>
        <w:t>money</w:t>
      </w:r>
      <w:r>
        <w:rPr>
          <w:spacing w:val="-15"/>
        </w:rPr>
        <w:t> </w:t>
      </w:r>
      <w:r>
        <w:rPr/>
        <w:t>does</w:t>
      </w:r>
      <w:r>
        <w:rPr>
          <w:spacing w:val="-13"/>
        </w:rPr>
        <w:t> </w:t>
      </w:r>
      <w:r>
        <w:rPr/>
        <w:t>NOT go into the</w:t>
      </w:r>
      <w:r>
        <w:rPr>
          <w:spacing w:val="-8"/>
        </w:rPr>
        <w:t> </w:t>
      </w:r>
      <w:r>
        <w:rPr/>
        <w:t>classroom.</w:t>
      </w:r>
    </w:p>
    <w:p>
      <w:pPr>
        <w:pStyle w:val="BodyText"/>
        <w:spacing w:line="276" w:lineRule="auto" w:before="199"/>
        <w:ind w:left="120" w:right="110"/>
        <w:jc w:val="both"/>
      </w:pPr>
      <w:r>
        <w:rPr/>
        <w:t>Contrast</w:t>
      </w:r>
      <w:r>
        <w:rPr>
          <w:spacing w:val="-13"/>
        </w:rPr>
        <w:t> </w:t>
      </w:r>
      <w:r>
        <w:rPr/>
        <w:t>this</w:t>
      </w:r>
      <w:r>
        <w:rPr>
          <w:spacing w:val="-12"/>
        </w:rPr>
        <w:t> </w:t>
      </w:r>
      <w:r>
        <w:rPr/>
        <w:t>with</w:t>
      </w:r>
      <w:r>
        <w:rPr>
          <w:spacing w:val="-11"/>
        </w:rPr>
        <w:t> </w:t>
      </w:r>
      <w:r>
        <w:rPr/>
        <w:t>districts’</w:t>
      </w:r>
      <w:r>
        <w:rPr>
          <w:spacing w:val="-14"/>
        </w:rPr>
        <w:t> </w:t>
      </w:r>
      <w:r>
        <w:rPr/>
        <w:t>financial</w:t>
      </w:r>
      <w:r>
        <w:rPr>
          <w:spacing w:val="-12"/>
        </w:rPr>
        <w:t> </w:t>
      </w:r>
      <w:r>
        <w:rPr/>
        <w:t>and</w:t>
      </w:r>
      <w:r>
        <w:rPr>
          <w:spacing w:val="-13"/>
        </w:rPr>
        <w:t> </w:t>
      </w:r>
      <w:r>
        <w:rPr/>
        <w:t>governance</w:t>
      </w:r>
      <w:r>
        <w:rPr>
          <w:spacing w:val="-11"/>
        </w:rPr>
        <w:t> </w:t>
      </w:r>
      <w:r>
        <w:rPr/>
        <w:t>practices.</w:t>
      </w:r>
      <w:r>
        <w:rPr>
          <w:spacing w:val="-12"/>
        </w:rPr>
        <w:t> </w:t>
      </w:r>
      <w:r>
        <w:rPr/>
        <w:t>District</w:t>
      </w:r>
      <w:r>
        <w:rPr>
          <w:spacing w:val="-12"/>
        </w:rPr>
        <w:t> </w:t>
      </w:r>
      <w:r>
        <w:rPr/>
        <w:t>administrators</w:t>
      </w:r>
      <w:r>
        <w:rPr>
          <w:spacing w:val="-12"/>
        </w:rPr>
        <w:t> </w:t>
      </w:r>
      <w:r>
        <w:rPr/>
        <w:t>and boards do not own the assets or collect rent on the properties the school operates. They do</w:t>
      </w:r>
      <w:r>
        <w:rPr>
          <w:spacing w:val="-6"/>
        </w:rPr>
        <w:t> </w:t>
      </w:r>
      <w:r>
        <w:rPr/>
        <w:t>not</w:t>
      </w:r>
      <w:r>
        <w:rPr>
          <w:spacing w:val="-9"/>
        </w:rPr>
        <w:t> </w:t>
      </w:r>
      <w:r>
        <w:rPr/>
        <w:t>hold</w:t>
      </w:r>
      <w:r>
        <w:rPr>
          <w:spacing w:val="-9"/>
        </w:rPr>
        <w:t> </w:t>
      </w:r>
      <w:r>
        <w:rPr/>
        <w:t>the</w:t>
      </w:r>
      <w:r>
        <w:rPr>
          <w:spacing w:val="-6"/>
        </w:rPr>
        <w:t> </w:t>
      </w:r>
      <w:r>
        <w:rPr/>
        <w:t>contracts</w:t>
      </w:r>
      <w:r>
        <w:rPr>
          <w:spacing w:val="-9"/>
        </w:rPr>
        <w:t> </w:t>
      </w:r>
      <w:r>
        <w:rPr/>
        <w:t>for</w:t>
      </w:r>
      <w:r>
        <w:rPr>
          <w:spacing w:val="-9"/>
        </w:rPr>
        <w:t> </w:t>
      </w:r>
      <w:r>
        <w:rPr/>
        <w:t>maintenance</w:t>
      </w:r>
      <w:r>
        <w:rPr>
          <w:spacing w:val="-8"/>
        </w:rPr>
        <w:t> </w:t>
      </w:r>
      <w:r>
        <w:rPr/>
        <w:t>and</w:t>
      </w:r>
      <w:r>
        <w:rPr>
          <w:spacing w:val="-8"/>
        </w:rPr>
        <w:t> </w:t>
      </w:r>
      <w:r>
        <w:rPr/>
        <w:t>other</w:t>
      </w:r>
      <w:r>
        <w:rPr>
          <w:spacing w:val="-7"/>
        </w:rPr>
        <w:t> </w:t>
      </w:r>
      <w:r>
        <w:rPr/>
        <w:t>necessities.</w:t>
      </w:r>
      <w:r>
        <w:rPr>
          <w:spacing w:val="-8"/>
        </w:rPr>
        <w:t> </w:t>
      </w:r>
      <w:r>
        <w:rPr/>
        <w:t>They</w:t>
      </w:r>
      <w:r>
        <w:rPr>
          <w:spacing w:val="-9"/>
        </w:rPr>
        <w:t> </w:t>
      </w:r>
      <w:r>
        <w:rPr/>
        <w:t>are</w:t>
      </w:r>
      <w:r>
        <w:rPr>
          <w:spacing w:val="-7"/>
        </w:rPr>
        <w:t> </w:t>
      </w:r>
      <w:r>
        <w:rPr/>
        <w:t>restricted</w:t>
      </w:r>
      <w:r>
        <w:rPr>
          <w:spacing w:val="-8"/>
        </w:rPr>
        <w:t> </w:t>
      </w:r>
      <w:r>
        <w:rPr/>
        <w:t>from conducting business with board members, their own families, or related</w:t>
      </w:r>
      <w:r>
        <w:rPr>
          <w:spacing w:val="-27"/>
        </w:rPr>
        <w:t> </w:t>
      </w:r>
      <w:r>
        <w:rPr/>
        <w:t>parties.</w:t>
      </w:r>
    </w:p>
    <w:p>
      <w:pPr>
        <w:pStyle w:val="BodyText"/>
        <w:rPr>
          <w:sz w:val="20"/>
        </w:rPr>
      </w:pPr>
    </w:p>
    <w:p>
      <w:pPr>
        <w:pStyle w:val="BodyText"/>
        <w:rPr>
          <w:sz w:val="20"/>
        </w:rPr>
      </w:pPr>
    </w:p>
    <w:p>
      <w:pPr>
        <w:pStyle w:val="BodyText"/>
        <w:spacing w:before="9"/>
        <w:rPr>
          <w:sz w:val="28"/>
        </w:rPr>
      </w:pPr>
      <w:r>
        <w:rPr/>
        <w:pict>
          <v:line style="position:absolute;mso-position-horizontal-relative:page;mso-position-vertical-relative:paragraph;z-index:2392;mso-wrap-distance-left:0;mso-wrap-distance-right:0" from="72pt,18.879471pt" to="216pt,18.879471pt" stroked="true" strokeweight=".72pt" strokecolor="#000000">
            <v:stroke dashstyle="solid"/>
            <w10:wrap type="topAndBottom"/>
          </v:line>
        </w:pict>
      </w:r>
    </w:p>
    <w:p>
      <w:pPr>
        <w:spacing w:before="45"/>
        <w:ind w:left="120" w:right="114" w:firstLine="0"/>
        <w:jc w:val="both"/>
        <w:rPr>
          <w:rFonts w:ascii="Calibri" w:hAnsi="Calibri"/>
          <w:sz w:val="20"/>
        </w:rPr>
      </w:pPr>
      <w:bookmarkStart w:name="_bookmark57" w:id="58"/>
      <w:bookmarkEnd w:id="58"/>
      <w:r>
        <w:rPr/>
      </w:r>
      <w:r>
        <w:rPr>
          <w:rFonts w:ascii="Calibri" w:hAnsi="Calibri"/>
          <w:position w:val="7"/>
          <w:sz w:val="13"/>
        </w:rPr>
        <w:t>21 </w:t>
      </w:r>
      <w:r>
        <w:rPr>
          <w:rFonts w:ascii="Calibri" w:hAnsi="Calibri"/>
          <w:sz w:val="20"/>
        </w:rPr>
        <w:t>The Annual Superintendent’s Report lists 5 expenditure areas: Classroom Instruction, Classroom Supplies, Administration,</w:t>
      </w:r>
      <w:r>
        <w:rPr>
          <w:rFonts w:ascii="Calibri" w:hAnsi="Calibri"/>
          <w:spacing w:val="-7"/>
          <w:sz w:val="20"/>
        </w:rPr>
        <w:t> </w:t>
      </w:r>
      <w:r>
        <w:rPr>
          <w:rFonts w:ascii="Calibri" w:hAnsi="Calibri"/>
          <w:sz w:val="20"/>
        </w:rPr>
        <w:t>Student</w:t>
      </w:r>
      <w:r>
        <w:rPr>
          <w:rFonts w:ascii="Calibri" w:hAnsi="Calibri"/>
          <w:spacing w:val="-7"/>
          <w:sz w:val="20"/>
        </w:rPr>
        <w:t> </w:t>
      </w:r>
      <w:r>
        <w:rPr>
          <w:rFonts w:ascii="Calibri" w:hAnsi="Calibri"/>
          <w:sz w:val="20"/>
        </w:rPr>
        <w:t>Support</w:t>
      </w:r>
      <w:r>
        <w:rPr>
          <w:rFonts w:ascii="Calibri" w:hAnsi="Calibri"/>
          <w:spacing w:val="-7"/>
          <w:sz w:val="20"/>
        </w:rPr>
        <w:t> </w:t>
      </w:r>
      <w:r>
        <w:rPr>
          <w:rFonts w:ascii="Calibri" w:hAnsi="Calibri"/>
          <w:sz w:val="20"/>
        </w:rPr>
        <w:t>and</w:t>
      </w:r>
      <w:r>
        <w:rPr>
          <w:rFonts w:ascii="Calibri" w:hAnsi="Calibri"/>
          <w:spacing w:val="-7"/>
          <w:sz w:val="20"/>
        </w:rPr>
        <w:t> </w:t>
      </w:r>
      <w:r>
        <w:rPr>
          <w:rFonts w:ascii="Calibri" w:hAnsi="Calibri"/>
          <w:sz w:val="20"/>
        </w:rPr>
        <w:t>Other</w:t>
      </w:r>
      <w:r>
        <w:rPr>
          <w:rFonts w:ascii="Calibri" w:hAnsi="Calibri"/>
          <w:spacing w:val="-8"/>
          <w:sz w:val="20"/>
        </w:rPr>
        <w:t> </w:t>
      </w:r>
      <w:r>
        <w:rPr>
          <w:rFonts w:ascii="Calibri" w:hAnsi="Calibri"/>
          <w:sz w:val="20"/>
        </w:rPr>
        <w:t>Support.</w:t>
      </w:r>
      <w:r>
        <w:rPr>
          <w:rFonts w:ascii="Calibri" w:hAnsi="Calibri"/>
          <w:spacing w:val="-7"/>
          <w:sz w:val="20"/>
        </w:rPr>
        <w:t> </w:t>
      </w:r>
      <w:r>
        <w:rPr>
          <w:rFonts w:ascii="Calibri" w:hAnsi="Calibri"/>
          <w:sz w:val="20"/>
        </w:rPr>
        <w:t>The</w:t>
      </w:r>
      <w:r>
        <w:rPr>
          <w:rFonts w:ascii="Calibri" w:hAnsi="Calibri"/>
          <w:spacing w:val="-9"/>
          <w:sz w:val="20"/>
        </w:rPr>
        <w:t> </w:t>
      </w:r>
      <w:r>
        <w:rPr>
          <w:rFonts w:ascii="Calibri" w:hAnsi="Calibri"/>
          <w:sz w:val="20"/>
        </w:rPr>
        <w:t>numbers</w:t>
      </w:r>
      <w:r>
        <w:rPr>
          <w:rFonts w:ascii="Calibri" w:hAnsi="Calibri"/>
          <w:spacing w:val="-2"/>
          <w:sz w:val="20"/>
        </w:rPr>
        <w:t> </w:t>
      </w:r>
      <w:r>
        <w:rPr>
          <w:rFonts w:ascii="Calibri" w:hAnsi="Calibri"/>
          <w:sz w:val="20"/>
        </w:rPr>
        <w:t>from</w:t>
      </w:r>
      <w:r>
        <w:rPr>
          <w:rFonts w:ascii="Calibri" w:hAnsi="Calibri"/>
          <w:spacing w:val="-9"/>
          <w:sz w:val="20"/>
        </w:rPr>
        <w:t> </w:t>
      </w:r>
      <w:r>
        <w:rPr>
          <w:rFonts w:ascii="Calibri" w:hAnsi="Calibri"/>
          <w:sz w:val="20"/>
        </w:rPr>
        <w:t>Page</w:t>
      </w:r>
      <w:r>
        <w:rPr>
          <w:rFonts w:ascii="Calibri" w:hAnsi="Calibri"/>
          <w:spacing w:val="-9"/>
          <w:sz w:val="20"/>
        </w:rPr>
        <w:t> </w:t>
      </w:r>
      <w:r>
        <w:rPr>
          <w:rFonts w:ascii="Calibri" w:hAnsi="Calibri"/>
          <w:sz w:val="20"/>
        </w:rPr>
        <w:t>7</w:t>
      </w:r>
      <w:r>
        <w:rPr>
          <w:rFonts w:ascii="Calibri" w:hAnsi="Calibri"/>
          <w:spacing w:val="-8"/>
          <w:sz w:val="20"/>
        </w:rPr>
        <w:t> </w:t>
      </w:r>
      <w:r>
        <w:rPr>
          <w:rFonts w:ascii="Calibri" w:hAnsi="Calibri"/>
          <w:sz w:val="20"/>
        </w:rPr>
        <w:t>of</w:t>
      </w:r>
      <w:r>
        <w:rPr>
          <w:rFonts w:ascii="Calibri" w:hAnsi="Calibri"/>
          <w:spacing w:val="-9"/>
          <w:sz w:val="20"/>
        </w:rPr>
        <w:t> </w:t>
      </w:r>
      <w:r>
        <w:rPr>
          <w:rFonts w:ascii="Calibri" w:hAnsi="Calibri"/>
          <w:sz w:val="20"/>
        </w:rPr>
        <w:t>the</w:t>
      </w:r>
      <w:r>
        <w:rPr>
          <w:rFonts w:ascii="Calibri" w:hAnsi="Calibri"/>
          <w:spacing w:val="-9"/>
          <w:sz w:val="20"/>
        </w:rPr>
        <w:t> </w:t>
      </w:r>
      <w:r>
        <w:rPr>
          <w:rFonts w:ascii="Calibri" w:hAnsi="Calibri"/>
          <w:sz w:val="20"/>
        </w:rPr>
        <w:t>AFR</w:t>
      </w:r>
      <w:r>
        <w:rPr>
          <w:rFonts w:ascii="Calibri" w:hAnsi="Calibri"/>
          <w:spacing w:val="-6"/>
          <w:sz w:val="20"/>
        </w:rPr>
        <w:t> </w:t>
      </w:r>
      <w:r>
        <w:rPr>
          <w:rFonts w:ascii="Calibri" w:hAnsi="Calibri"/>
          <w:sz w:val="20"/>
        </w:rPr>
        <w:t>are</w:t>
      </w:r>
      <w:r>
        <w:rPr>
          <w:rFonts w:ascii="Calibri" w:hAnsi="Calibri"/>
          <w:spacing w:val="-9"/>
          <w:sz w:val="20"/>
        </w:rPr>
        <w:t> </w:t>
      </w:r>
      <w:r>
        <w:rPr>
          <w:rFonts w:ascii="Calibri" w:hAnsi="Calibri"/>
          <w:sz w:val="20"/>
        </w:rPr>
        <w:t>the</w:t>
      </w:r>
      <w:r>
        <w:rPr>
          <w:rFonts w:ascii="Calibri" w:hAnsi="Calibri"/>
          <w:spacing w:val="-9"/>
          <w:sz w:val="20"/>
        </w:rPr>
        <w:t> </w:t>
      </w:r>
      <w:r>
        <w:rPr>
          <w:rFonts w:ascii="Calibri" w:hAnsi="Calibri"/>
          <w:sz w:val="20"/>
        </w:rPr>
        <w:t>numbers</w:t>
      </w:r>
      <w:r>
        <w:rPr>
          <w:rFonts w:ascii="Calibri" w:hAnsi="Calibri"/>
          <w:spacing w:val="-9"/>
          <w:sz w:val="20"/>
        </w:rPr>
        <w:t> </w:t>
      </w:r>
      <w:r>
        <w:rPr>
          <w:rFonts w:ascii="Calibri" w:hAnsi="Calibri"/>
          <w:sz w:val="20"/>
        </w:rPr>
        <w:t>reported in</w:t>
      </w:r>
      <w:r>
        <w:rPr>
          <w:rFonts w:ascii="Calibri" w:hAnsi="Calibri"/>
          <w:spacing w:val="-4"/>
          <w:sz w:val="20"/>
        </w:rPr>
        <w:t> </w:t>
      </w:r>
      <w:r>
        <w:rPr>
          <w:rFonts w:ascii="Calibri" w:hAnsi="Calibri"/>
          <w:sz w:val="20"/>
        </w:rPr>
        <w:t>the</w:t>
      </w:r>
      <w:r>
        <w:rPr>
          <w:rFonts w:ascii="Calibri" w:hAnsi="Calibri"/>
          <w:spacing w:val="-5"/>
          <w:sz w:val="20"/>
        </w:rPr>
        <w:t> </w:t>
      </w:r>
      <w:r>
        <w:rPr>
          <w:rFonts w:ascii="Calibri" w:hAnsi="Calibri"/>
          <w:sz w:val="20"/>
        </w:rPr>
        <w:t>Superintendent’s</w:t>
      </w:r>
      <w:r>
        <w:rPr>
          <w:rFonts w:ascii="Calibri" w:hAnsi="Calibri"/>
          <w:spacing w:val="-3"/>
          <w:sz w:val="20"/>
        </w:rPr>
        <w:t> </w:t>
      </w:r>
      <w:r>
        <w:rPr>
          <w:rFonts w:ascii="Calibri" w:hAnsi="Calibri"/>
          <w:sz w:val="20"/>
        </w:rPr>
        <w:t>Report.</w:t>
      </w:r>
      <w:r>
        <w:rPr>
          <w:rFonts w:ascii="Calibri" w:hAnsi="Calibri"/>
          <w:spacing w:val="-4"/>
          <w:sz w:val="20"/>
        </w:rPr>
        <w:t> </w:t>
      </w:r>
      <w:r>
        <w:rPr>
          <w:rFonts w:ascii="Calibri" w:hAnsi="Calibri"/>
          <w:sz w:val="20"/>
        </w:rPr>
        <w:t>The</w:t>
      </w:r>
      <w:r>
        <w:rPr>
          <w:rFonts w:ascii="Calibri" w:hAnsi="Calibri"/>
          <w:spacing w:val="-5"/>
          <w:sz w:val="20"/>
        </w:rPr>
        <w:t> </w:t>
      </w:r>
      <w:r>
        <w:rPr>
          <w:rFonts w:ascii="Calibri" w:hAnsi="Calibri"/>
          <w:sz w:val="20"/>
        </w:rPr>
        <w:t>number</w:t>
      </w:r>
      <w:r>
        <w:rPr>
          <w:rFonts w:ascii="Calibri" w:hAnsi="Calibri"/>
          <w:spacing w:val="-4"/>
          <w:sz w:val="20"/>
        </w:rPr>
        <w:t> </w:t>
      </w:r>
      <w:r>
        <w:rPr>
          <w:rFonts w:ascii="Calibri" w:hAnsi="Calibri"/>
          <w:sz w:val="20"/>
        </w:rPr>
        <w:t>are</w:t>
      </w:r>
      <w:r>
        <w:rPr>
          <w:rFonts w:ascii="Calibri" w:hAnsi="Calibri"/>
          <w:spacing w:val="-3"/>
          <w:sz w:val="20"/>
        </w:rPr>
        <w:t> </w:t>
      </w:r>
      <w:r>
        <w:rPr>
          <w:rFonts w:ascii="Calibri" w:hAnsi="Calibri"/>
          <w:sz w:val="20"/>
        </w:rPr>
        <w:t>sometimes</w:t>
      </w:r>
      <w:r>
        <w:rPr>
          <w:rFonts w:ascii="Calibri" w:hAnsi="Calibri"/>
          <w:spacing w:val="-4"/>
          <w:sz w:val="20"/>
        </w:rPr>
        <w:t> </w:t>
      </w:r>
      <w:r>
        <w:rPr>
          <w:rFonts w:ascii="Calibri" w:hAnsi="Calibri"/>
          <w:sz w:val="20"/>
        </w:rPr>
        <w:t>incorrect</w:t>
      </w:r>
      <w:r>
        <w:rPr>
          <w:rFonts w:ascii="Calibri" w:hAnsi="Calibri"/>
          <w:spacing w:val="-5"/>
          <w:sz w:val="20"/>
        </w:rPr>
        <w:t> </w:t>
      </w:r>
      <w:r>
        <w:rPr>
          <w:rFonts w:ascii="Calibri" w:hAnsi="Calibri"/>
          <w:sz w:val="20"/>
        </w:rPr>
        <w:t>as</w:t>
      </w:r>
      <w:r>
        <w:rPr>
          <w:rFonts w:ascii="Calibri" w:hAnsi="Calibri"/>
          <w:spacing w:val="-6"/>
          <w:sz w:val="20"/>
        </w:rPr>
        <w:t> </w:t>
      </w:r>
      <w:r>
        <w:rPr>
          <w:rFonts w:ascii="Calibri" w:hAnsi="Calibri"/>
          <w:sz w:val="20"/>
        </w:rPr>
        <w:t>will</w:t>
      </w:r>
      <w:r>
        <w:rPr>
          <w:rFonts w:ascii="Calibri" w:hAnsi="Calibri"/>
          <w:spacing w:val="-5"/>
          <w:sz w:val="20"/>
        </w:rPr>
        <w:t> </w:t>
      </w:r>
      <w:r>
        <w:rPr>
          <w:rFonts w:ascii="Calibri" w:hAnsi="Calibri"/>
          <w:sz w:val="20"/>
        </w:rPr>
        <w:t>be</w:t>
      </w:r>
      <w:r>
        <w:rPr>
          <w:rFonts w:ascii="Calibri" w:hAnsi="Calibri"/>
          <w:spacing w:val="-5"/>
          <w:sz w:val="20"/>
        </w:rPr>
        <w:t> </w:t>
      </w:r>
      <w:r>
        <w:rPr>
          <w:rFonts w:ascii="Calibri" w:hAnsi="Calibri"/>
          <w:sz w:val="20"/>
        </w:rPr>
        <w:t>discussed</w:t>
      </w:r>
      <w:r>
        <w:rPr>
          <w:rFonts w:ascii="Calibri" w:hAnsi="Calibri"/>
          <w:spacing w:val="-4"/>
          <w:sz w:val="20"/>
        </w:rPr>
        <w:t> </w:t>
      </w:r>
      <w:r>
        <w:rPr>
          <w:rFonts w:ascii="Calibri" w:hAnsi="Calibri"/>
          <w:sz w:val="20"/>
        </w:rPr>
        <w:t>in</w:t>
      </w:r>
      <w:r>
        <w:rPr>
          <w:rFonts w:ascii="Calibri" w:hAnsi="Calibri"/>
          <w:spacing w:val="-4"/>
          <w:sz w:val="20"/>
        </w:rPr>
        <w:t> </w:t>
      </w:r>
      <w:r>
        <w:rPr>
          <w:rFonts w:ascii="Calibri" w:hAnsi="Calibri"/>
          <w:sz w:val="20"/>
        </w:rPr>
        <w:t>the</w:t>
      </w:r>
      <w:r>
        <w:rPr>
          <w:rFonts w:ascii="Calibri" w:hAnsi="Calibri"/>
          <w:spacing w:val="-5"/>
          <w:sz w:val="20"/>
        </w:rPr>
        <w:t> </w:t>
      </w:r>
      <w:r>
        <w:rPr>
          <w:rFonts w:ascii="Calibri" w:hAnsi="Calibri"/>
          <w:sz w:val="20"/>
        </w:rPr>
        <w:t>last</w:t>
      </w:r>
      <w:r>
        <w:rPr>
          <w:rFonts w:ascii="Calibri" w:hAnsi="Calibri"/>
          <w:spacing w:val="-2"/>
          <w:sz w:val="20"/>
        </w:rPr>
        <w:t> </w:t>
      </w:r>
      <w:r>
        <w:rPr>
          <w:rFonts w:ascii="Calibri" w:hAnsi="Calibri"/>
          <w:sz w:val="20"/>
        </w:rPr>
        <w:t>segment</w:t>
      </w:r>
      <w:r>
        <w:rPr>
          <w:rFonts w:ascii="Calibri" w:hAnsi="Calibri"/>
          <w:spacing w:val="-4"/>
          <w:sz w:val="20"/>
        </w:rPr>
        <w:t> </w:t>
      </w:r>
      <w:r>
        <w:rPr>
          <w:rFonts w:ascii="Calibri" w:hAnsi="Calibri"/>
          <w:sz w:val="20"/>
        </w:rPr>
        <w:t>of</w:t>
      </w:r>
      <w:r>
        <w:rPr>
          <w:rFonts w:ascii="Calibri" w:hAnsi="Calibri"/>
          <w:spacing w:val="-5"/>
          <w:sz w:val="20"/>
        </w:rPr>
        <w:t> </w:t>
      </w:r>
      <w:r>
        <w:rPr>
          <w:rFonts w:ascii="Calibri" w:hAnsi="Calibri"/>
          <w:sz w:val="20"/>
        </w:rPr>
        <w:t>this report on</w:t>
      </w:r>
      <w:r>
        <w:rPr>
          <w:rFonts w:ascii="Calibri" w:hAnsi="Calibri"/>
          <w:spacing w:val="-15"/>
          <w:sz w:val="20"/>
        </w:rPr>
        <w:t> </w:t>
      </w:r>
      <w:r>
        <w:rPr>
          <w:rFonts w:ascii="Calibri" w:hAnsi="Calibri"/>
          <w:sz w:val="20"/>
        </w:rPr>
        <w:t>Inconsistencies.</w:t>
      </w:r>
    </w:p>
    <w:p>
      <w:pPr>
        <w:spacing w:after="0"/>
        <w:jc w:val="both"/>
        <w:rPr>
          <w:rFonts w:ascii="Calibri" w:hAnsi="Calibri"/>
          <w:sz w:val="20"/>
        </w:rPr>
        <w:sectPr>
          <w:pgSz w:w="12240" w:h="15840"/>
          <w:pgMar w:header="740" w:footer="1002" w:top="940" w:bottom="1200" w:left="1320" w:right="1320"/>
        </w:sectPr>
      </w:pPr>
    </w:p>
    <w:p>
      <w:pPr>
        <w:pStyle w:val="BodyText"/>
        <w:rPr>
          <w:rFonts w:ascii="Calibri"/>
          <w:sz w:val="20"/>
        </w:rPr>
      </w:pPr>
    </w:p>
    <w:p>
      <w:pPr>
        <w:pStyle w:val="BodyText"/>
        <w:spacing w:before="5"/>
        <w:rPr>
          <w:rFonts w:ascii="Calibri"/>
          <w:sz w:val="19"/>
        </w:rPr>
      </w:pPr>
    </w:p>
    <w:p>
      <w:pPr>
        <w:spacing w:line="276" w:lineRule="auto" w:before="0"/>
        <w:ind w:left="238" w:right="115" w:firstLine="0"/>
        <w:jc w:val="both"/>
        <w:rPr>
          <w:i/>
          <w:sz w:val="24"/>
        </w:rPr>
      </w:pPr>
      <w:r>
        <w:rPr>
          <w:sz w:val="24"/>
        </w:rPr>
        <w:t>These “rules” for districts have evolved because such dealings WERE a problem in the past. Reports that view these rules as endangering autonomy and variety miss the</w:t>
      </w:r>
      <w:r>
        <w:rPr>
          <w:spacing w:val="-46"/>
          <w:sz w:val="24"/>
        </w:rPr>
        <w:t> </w:t>
      </w:r>
      <w:r>
        <w:rPr>
          <w:sz w:val="24"/>
        </w:rPr>
        <w:t>point. The rules concerning finances are a check on human nature. That essentially is what financial regulations are designed to do. Free markets are not exempt from the same human</w:t>
      </w:r>
      <w:r>
        <w:rPr>
          <w:spacing w:val="-14"/>
          <w:sz w:val="24"/>
        </w:rPr>
        <w:t> </w:t>
      </w:r>
      <w:r>
        <w:rPr>
          <w:sz w:val="24"/>
        </w:rPr>
        <w:t>frailties.</w:t>
      </w:r>
      <w:r>
        <w:rPr>
          <w:spacing w:val="-10"/>
          <w:sz w:val="24"/>
        </w:rPr>
        <w:t> </w:t>
      </w:r>
      <w:r>
        <w:rPr>
          <w:i/>
          <w:sz w:val="24"/>
        </w:rPr>
        <w:t>However,</w:t>
      </w:r>
      <w:r>
        <w:rPr>
          <w:i/>
          <w:spacing w:val="-13"/>
          <w:sz w:val="24"/>
        </w:rPr>
        <w:t> </w:t>
      </w:r>
      <w:r>
        <w:rPr>
          <w:i/>
          <w:sz w:val="24"/>
        </w:rPr>
        <w:t>their</w:t>
      </w:r>
      <w:r>
        <w:rPr>
          <w:i/>
          <w:spacing w:val="-14"/>
          <w:sz w:val="24"/>
        </w:rPr>
        <w:t> </w:t>
      </w:r>
      <w:r>
        <w:rPr>
          <w:i/>
          <w:sz w:val="24"/>
        </w:rPr>
        <w:t>financial</w:t>
      </w:r>
      <w:r>
        <w:rPr>
          <w:i/>
          <w:spacing w:val="-15"/>
          <w:sz w:val="24"/>
        </w:rPr>
        <w:t> </w:t>
      </w:r>
      <w:r>
        <w:rPr>
          <w:i/>
          <w:sz w:val="24"/>
        </w:rPr>
        <w:t>oversight</w:t>
      </w:r>
      <w:r>
        <w:rPr>
          <w:i/>
          <w:spacing w:val="-12"/>
          <w:sz w:val="24"/>
        </w:rPr>
        <w:t> </w:t>
      </w:r>
      <w:r>
        <w:rPr>
          <w:i/>
          <w:sz w:val="24"/>
        </w:rPr>
        <w:t>resembles</w:t>
      </w:r>
      <w:r>
        <w:rPr>
          <w:i/>
          <w:spacing w:val="-12"/>
          <w:sz w:val="24"/>
        </w:rPr>
        <w:t> </w:t>
      </w:r>
      <w:r>
        <w:rPr>
          <w:i/>
          <w:sz w:val="24"/>
        </w:rPr>
        <w:t>a</w:t>
      </w:r>
      <w:r>
        <w:rPr>
          <w:i/>
          <w:spacing w:val="-12"/>
          <w:sz w:val="24"/>
        </w:rPr>
        <w:t> </w:t>
      </w:r>
      <w:r>
        <w:rPr>
          <w:i/>
          <w:sz w:val="24"/>
        </w:rPr>
        <w:t>religion</w:t>
      </w:r>
      <w:r>
        <w:rPr>
          <w:i/>
          <w:spacing w:val="-12"/>
          <w:sz w:val="24"/>
        </w:rPr>
        <w:t> </w:t>
      </w:r>
      <w:r>
        <w:rPr>
          <w:i/>
          <w:sz w:val="24"/>
        </w:rPr>
        <w:t>without</w:t>
      </w:r>
      <w:r>
        <w:rPr>
          <w:i/>
          <w:spacing w:val="-12"/>
          <w:sz w:val="24"/>
        </w:rPr>
        <w:t> </w:t>
      </w:r>
      <w:r>
        <w:rPr>
          <w:i/>
          <w:sz w:val="24"/>
        </w:rPr>
        <w:t>some</w:t>
      </w:r>
      <w:r>
        <w:rPr>
          <w:i/>
          <w:spacing w:val="-12"/>
          <w:sz w:val="24"/>
        </w:rPr>
        <w:t> </w:t>
      </w:r>
      <w:r>
        <w:rPr>
          <w:i/>
          <w:sz w:val="24"/>
        </w:rPr>
        <w:t>form </w:t>
      </w:r>
      <w:r>
        <w:rPr>
          <w:i/>
          <w:sz w:val="24"/>
        </w:rPr>
        <w:t>of the Ten Commandments guiding their practices. This leads to situational ethics being the guiding force in this “free</w:t>
      </w:r>
      <w:r>
        <w:rPr>
          <w:i/>
          <w:spacing w:val="-44"/>
          <w:sz w:val="24"/>
        </w:rPr>
        <w:t> </w:t>
      </w:r>
      <w:r>
        <w:rPr>
          <w:i/>
          <w:sz w:val="24"/>
        </w:rPr>
        <w:t>market”.</w:t>
      </w:r>
    </w:p>
    <w:p>
      <w:pPr>
        <w:spacing w:line="276" w:lineRule="auto" w:before="199"/>
        <w:ind w:left="238" w:right="113" w:firstLine="0"/>
        <w:jc w:val="both"/>
        <w:rPr>
          <w:sz w:val="24"/>
        </w:rPr>
      </w:pPr>
      <w:r>
        <w:rPr>
          <w:sz w:val="24"/>
        </w:rPr>
        <w:t>So where is the classroom money going? </w:t>
      </w:r>
      <w:r>
        <w:rPr>
          <w:i/>
          <w:sz w:val="24"/>
        </w:rPr>
        <w:t>Administrative costs for Purchased </w:t>
      </w:r>
      <w:r>
        <w:rPr>
          <w:i/>
          <w:sz w:val="24"/>
        </w:rPr>
        <w:t>Administrative Services are a canary in the coal mine indicator of fees going to management companies. </w:t>
      </w:r>
      <w:r>
        <w:rPr>
          <w:sz w:val="24"/>
        </w:rPr>
        <w:t>When purchased administrative services are 84.06% of what charters</w:t>
      </w:r>
      <w:r>
        <w:rPr>
          <w:spacing w:val="-12"/>
          <w:sz w:val="24"/>
        </w:rPr>
        <w:t> </w:t>
      </w:r>
      <w:r>
        <w:rPr>
          <w:sz w:val="24"/>
        </w:rPr>
        <w:t>are</w:t>
      </w:r>
      <w:r>
        <w:rPr>
          <w:spacing w:val="-10"/>
          <w:sz w:val="24"/>
        </w:rPr>
        <w:t> </w:t>
      </w:r>
      <w:r>
        <w:rPr>
          <w:sz w:val="24"/>
        </w:rPr>
        <w:t>spending</w:t>
      </w:r>
      <w:r>
        <w:rPr>
          <w:spacing w:val="-11"/>
          <w:sz w:val="24"/>
        </w:rPr>
        <w:t> </w:t>
      </w:r>
      <w:r>
        <w:rPr>
          <w:sz w:val="24"/>
        </w:rPr>
        <w:t>on</w:t>
      </w:r>
      <w:r>
        <w:rPr>
          <w:spacing w:val="-9"/>
          <w:sz w:val="24"/>
        </w:rPr>
        <w:t> </w:t>
      </w:r>
      <w:r>
        <w:rPr>
          <w:sz w:val="24"/>
        </w:rPr>
        <w:t>ALL</w:t>
      </w:r>
      <w:r>
        <w:rPr>
          <w:spacing w:val="-11"/>
          <w:sz w:val="24"/>
        </w:rPr>
        <w:t> </w:t>
      </w:r>
      <w:r>
        <w:rPr>
          <w:sz w:val="24"/>
        </w:rPr>
        <w:t>administrative</w:t>
      </w:r>
      <w:r>
        <w:rPr>
          <w:spacing w:val="-9"/>
          <w:sz w:val="24"/>
        </w:rPr>
        <w:t> </w:t>
      </w:r>
      <w:r>
        <w:rPr>
          <w:sz w:val="24"/>
        </w:rPr>
        <w:t>costs</w:t>
      </w:r>
      <w:r>
        <w:rPr>
          <w:spacing w:val="-10"/>
          <w:sz w:val="24"/>
        </w:rPr>
        <w:t> </w:t>
      </w:r>
      <w:r>
        <w:rPr>
          <w:sz w:val="24"/>
        </w:rPr>
        <w:t>it</w:t>
      </w:r>
      <w:r>
        <w:rPr>
          <w:spacing w:val="-10"/>
          <w:sz w:val="24"/>
        </w:rPr>
        <w:t> </w:t>
      </w:r>
      <w:r>
        <w:rPr>
          <w:sz w:val="24"/>
        </w:rPr>
        <w:t>represents</w:t>
      </w:r>
      <w:r>
        <w:rPr>
          <w:spacing w:val="-11"/>
          <w:sz w:val="24"/>
        </w:rPr>
        <w:t> </w:t>
      </w:r>
      <w:r>
        <w:rPr>
          <w:sz w:val="24"/>
        </w:rPr>
        <w:t>a</w:t>
      </w:r>
      <w:r>
        <w:rPr>
          <w:spacing w:val="-9"/>
          <w:sz w:val="24"/>
        </w:rPr>
        <w:t> </w:t>
      </w:r>
      <w:r>
        <w:rPr>
          <w:sz w:val="24"/>
        </w:rPr>
        <w:t>lopsided</w:t>
      </w:r>
      <w:r>
        <w:rPr>
          <w:spacing w:val="-11"/>
          <w:sz w:val="24"/>
        </w:rPr>
        <w:t> </w:t>
      </w:r>
      <w:r>
        <w:rPr>
          <w:sz w:val="24"/>
        </w:rPr>
        <w:t>expenditure</w:t>
      </w:r>
      <w:r>
        <w:rPr>
          <w:spacing w:val="-11"/>
          <w:sz w:val="24"/>
        </w:rPr>
        <w:t> </w:t>
      </w:r>
      <w:r>
        <w:rPr>
          <w:sz w:val="24"/>
        </w:rPr>
        <w:t>to management companies versus the administrators that actually run the charter schools. Overall statistics are provided here. The page numbers refer to the pages on the Annual Financial Reviews. A detailed analysis of all charter expenses in this and other areas is provided in the data</w:t>
      </w:r>
      <w:r>
        <w:rPr>
          <w:spacing w:val="-10"/>
          <w:sz w:val="24"/>
        </w:rPr>
        <w:t> </w:t>
      </w:r>
      <w:r>
        <w:rPr>
          <w:sz w:val="24"/>
        </w:rPr>
        <w:t>set.</w:t>
      </w:r>
    </w:p>
    <w:p>
      <w:pPr>
        <w:pStyle w:val="BodyText"/>
        <w:spacing w:before="10"/>
        <w:rPr>
          <w:sz w:val="17"/>
        </w:rPr>
      </w:pPr>
    </w:p>
    <w:tbl>
      <w:tblPr>
        <w:tblW w:w="0" w:type="auto"/>
        <w:jc w:val="left"/>
        <w:tblInd w:w="11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4501"/>
        <w:gridCol w:w="4861"/>
      </w:tblGrid>
      <w:tr>
        <w:trPr>
          <w:trHeight w:val="380" w:hRule="atLeast"/>
        </w:trPr>
        <w:tc>
          <w:tcPr>
            <w:tcW w:w="4501" w:type="dxa"/>
            <w:tcBorders>
              <w:left w:val="nil"/>
              <w:right w:val="single" w:sz="4" w:space="0" w:color="FFFF00"/>
            </w:tcBorders>
            <w:shd w:val="clear" w:color="auto" w:fill="000000"/>
          </w:tcPr>
          <w:p>
            <w:pPr>
              <w:pStyle w:val="TableParagraph"/>
              <w:spacing w:line="192" w:lineRule="exact"/>
              <w:ind w:left="369" w:right="364"/>
              <w:rPr>
                <w:b/>
                <w:sz w:val="18"/>
              </w:rPr>
            </w:pPr>
            <w:r>
              <w:rPr>
                <w:b/>
                <w:color w:val="FFFFFF"/>
                <w:sz w:val="18"/>
              </w:rPr>
              <w:t>AFR 2014-2015 P 10</w:t>
            </w:r>
          </w:p>
          <w:p>
            <w:pPr>
              <w:pStyle w:val="TableParagraph"/>
              <w:spacing w:line="184" w:lineRule="exact"/>
              <w:ind w:left="369" w:right="365"/>
              <w:rPr>
                <w:b/>
                <w:sz w:val="18"/>
              </w:rPr>
            </w:pPr>
            <w:r>
              <w:rPr>
                <w:b/>
                <w:color w:val="FFFFFF"/>
                <w:sz w:val="18"/>
              </w:rPr>
              <w:t>(Administrative Salaries and Benefits Total)</w:t>
            </w:r>
          </w:p>
        </w:tc>
        <w:tc>
          <w:tcPr>
            <w:tcW w:w="4861" w:type="dxa"/>
            <w:tcBorders>
              <w:left w:val="single" w:sz="4" w:space="0" w:color="FFFF00"/>
              <w:right w:val="single" w:sz="4" w:space="0" w:color="FFFF00"/>
            </w:tcBorders>
            <w:shd w:val="clear" w:color="auto" w:fill="000000"/>
          </w:tcPr>
          <w:p>
            <w:pPr>
              <w:pStyle w:val="TableParagraph"/>
              <w:spacing w:line="190" w:lineRule="exact" w:before="10"/>
              <w:ind w:left="1185" w:right="978" w:hanging="193"/>
              <w:jc w:val="left"/>
              <w:rPr>
                <w:b/>
                <w:sz w:val="18"/>
              </w:rPr>
            </w:pPr>
            <w:r>
              <w:rPr>
                <w:b/>
                <w:color w:val="FFFFFF"/>
                <w:sz w:val="18"/>
              </w:rPr>
              <w:t>Percentage to Total Expenditures Reported on P 2 AZDOE AFR</w:t>
            </w:r>
          </w:p>
        </w:tc>
      </w:tr>
      <w:tr>
        <w:trPr>
          <w:trHeight w:val="300" w:hRule="atLeast"/>
        </w:trPr>
        <w:tc>
          <w:tcPr>
            <w:tcW w:w="4501" w:type="dxa"/>
            <w:tcBorders>
              <w:top w:val="single" w:sz="18" w:space="0" w:color="5B9BD4"/>
              <w:left w:val="single" w:sz="8" w:space="0" w:color="000000"/>
              <w:bottom w:val="single" w:sz="8" w:space="0" w:color="000000"/>
              <w:right w:val="single" w:sz="8" w:space="0" w:color="000000"/>
            </w:tcBorders>
          </w:tcPr>
          <w:p>
            <w:pPr>
              <w:pStyle w:val="TableParagraph"/>
              <w:spacing w:line="220" w:lineRule="exact" w:before="77"/>
              <w:ind w:left="214" w:right="217"/>
              <w:rPr>
                <w:b/>
                <w:sz w:val="20"/>
              </w:rPr>
            </w:pPr>
            <w:r>
              <w:rPr>
                <w:b/>
                <w:sz w:val="20"/>
              </w:rPr>
              <w:t>$115,126,310</w:t>
            </w:r>
          </w:p>
        </w:tc>
        <w:tc>
          <w:tcPr>
            <w:tcW w:w="4861" w:type="dxa"/>
            <w:tcBorders>
              <w:top w:val="single" w:sz="18" w:space="0" w:color="5B9BD4"/>
              <w:left w:val="single" w:sz="8" w:space="0" w:color="000000"/>
              <w:bottom w:val="single" w:sz="8" w:space="0" w:color="000000"/>
              <w:right w:val="single" w:sz="8" w:space="0" w:color="000000"/>
            </w:tcBorders>
          </w:tcPr>
          <w:p>
            <w:pPr>
              <w:pStyle w:val="TableParagraph"/>
              <w:spacing w:line="244" w:lineRule="exact" w:before="53"/>
              <w:ind w:left="2027" w:right="2026"/>
              <w:rPr>
                <w:b/>
                <w:sz w:val="22"/>
              </w:rPr>
            </w:pPr>
            <w:r>
              <w:rPr>
                <w:b/>
                <w:sz w:val="22"/>
              </w:rPr>
              <w:t>10.66%</w:t>
            </w:r>
          </w:p>
        </w:tc>
      </w:tr>
    </w:tbl>
    <w:p>
      <w:pPr>
        <w:pStyle w:val="BodyText"/>
        <w:rPr>
          <w:sz w:val="20"/>
        </w:rPr>
      </w:pPr>
    </w:p>
    <w:p>
      <w:pPr>
        <w:pStyle w:val="BodyText"/>
        <w:spacing w:before="11"/>
      </w:pPr>
    </w:p>
    <w:tbl>
      <w:tblPr>
        <w:tblW w:w="0" w:type="auto"/>
        <w:jc w:val="left"/>
        <w:tblInd w:w="11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4962"/>
        <w:gridCol w:w="4357"/>
      </w:tblGrid>
      <w:tr>
        <w:trPr>
          <w:trHeight w:val="380" w:hRule="atLeast"/>
        </w:trPr>
        <w:tc>
          <w:tcPr>
            <w:tcW w:w="4962" w:type="dxa"/>
            <w:tcBorders>
              <w:left w:val="nil"/>
              <w:right w:val="single" w:sz="4" w:space="0" w:color="FFFF00"/>
            </w:tcBorders>
            <w:shd w:val="clear" w:color="auto" w:fill="000000"/>
          </w:tcPr>
          <w:p>
            <w:pPr>
              <w:pStyle w:val="TableParagraph"/>
              <w:jc w:val="left"/>
              <w:rPr>
                <w:sz w:val="16"/>
              </w:rPr>
            </w:pPr>
          </w:p>
          <w:p>
            <w:pPr>
              <w:pStyle w:val="TableParagraph"/>
              <w:spacing w:line="191" w:lineRule="exact"/>
              <w:ind w:left="123" w:right="120"/>
              <w:rPr>
                <w:b/>
                <w:sz w:val="18"/>
              </w:rPr>
            </w:pPr>
            <w:r>
              <w:rPr>
                <w:b/>
                <w:color w:val="FFFFFF"/>
                <w:sz w:val="18"/>
              </w:rPr>
              <w:t>AFR 2014-2015 P 10 (Admin Purchased Services Total)</w:t>
            </w:r>
          </w:p>
        </w:tc>
        <w:tc>
          <w:tcPr>
            <w:tcW w:w="4357" w:type="dxa"/>
            <w:tcBorders>
              <w:left w:val="single" w:sz="4" w:space="0" w:color="FFFF00"/>
              <w:right w:val="single" w:sz="4" w:space="0" w:color="FFFF00"/>
            </w:tcBorders>
            <w:shd w:val="clear" w:color="auto" w:fill="000000"/>
          </w:tcPr>
          <w:p>
            <w:pPr>
              <w:pStyle w:val="TableParagraph"/>
              <w:spacing w:line="190" w:lineRule="exact" w:before="11"/>
              <w:ind w:left="1154" w:right="185" w:hanging="954"/>
              <w:jc w:val="left"/>
              <w:rPr>
                <w:b/>
                <w:sz w:val="18"/>
              </w:rPr>
            </w:pPr>
            <w:r>
              <w:rPr>
                <w:b/>
                <w:color w:val="FFFFFF"/>
                <w:sz w:val="18"/>
              </w:rPr>
              <w:t>Difference Administrative Purchased Services to Salaries and Benefits</w:t>
            </w:r>
          </w:p>
        </w:tc>
      </w:tr>
      <w:tr>
        <w:trPr>
          <w:trHeight w:val="300" w:hRule="atLeast"/>
        </w:trPr>
        <w:tc>
          <w:tcPr>
            <w:tcW w:w="4962" w:type="dxa"/>
            <w:tcBorders>
              <w:top w:val="single" w:sz="18" w:space="0" w:color="5B9BD4"/>
              <w:left w:val="single" w:sz="8" w:space="0" w:color="000000"/>
              <w:bottom w:val="single" w:sz="8" w:space="0" w:color="000000"/>
              <w:right w:val="single" w:sz="8" w:space="0" w:color="000000"/>
            </w:tcBorders>
          </w:tcPr>
          <w:p>
            <w:pPr>
              <w:pStyle w:val="TableParagraph"/>
              <w:spacing w:line="222" w:lineRule="exact" w:before="75"/>
              <w:ind w:left="1894" w:right="1895"/>
              <w:rPr>
                <w:b/>
                <w:sz w:val="20"/>
              </w:rPr>
            </w:pPr>
            <w:r>
              <w:rPr>
                <w:b/>
                <w:sz w:val="20"/>
              </w:rPr>
              <w:t>$96,770,380</w:t>
            </w:r>
          </w:p>
        </w:tc>
        <w:tc>
          <w:tcPr>
            <w:tcW w:w="4357" w:type="dxa"/>
            <w:tcBorders>
              <w:top w:val="single" w:sz="18" w:space="0" w:color="5B9BD4"/>
              <w:left w:val="single" w:sz="8" w:space="0" w:color="000000"/>
              <w:bottom w:val="single" w:sz="8" w:space="0" w:color="000000"/>
              <w:right w:val="single" w:sz="8" w:space="0" w:color="000000"/>
            </w:tcBorders>
          </w:tcPr>
          <w:p>
            <w:pPr>
              <w:pStyle w:val="TableParagraph"/>
              <w:spacing w:line="222" w:lineRule="exact" w:before="75"/>
              <w:ind w:left="1591" w:right="1592"/>
              <w:rPr>
                <w:b/>
                <w:sz w:val="20"/>
              </w:rPr>
            </w:pPr>
            <w:r>
              <w:rPr>
                <w:b/>
                <w:sz w:val="20"/>
              </w:rPr>
              <w:t>$18,355,930</w:t>
            </w:r>
          </w:p>
        </w:tc>
      </w:tr>
    </w:tbl>
    <w:p>
      <w:pPr>
        <w:pStyle w:val="BodyText"/>
        <w:rPr>
          <w:sz w:val="20"/>
        </w:rPr>
      </w:pPr>
    </w:p>
    <w:p>
      <w:pPr>
        <w:pStyle w:val="BodyText"/>
        <w:spacing w:before="2"/>
        <w:rPr>
          <w:sz w:val="25"/>
        </w:rPr>
      </w:pPr>
    </w:p>
    <w:tbl>
      <w:tblPr>
        <w:tblW w:w="0" w:type="auto"/>
        <w:jc w:val="left"/>
        <w:tblInd w:w="108"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9271"/>
      </w:tblGrid>
      <w:tr>
        <w:trPr>
          <w:trHeight w:val="300" w:hRule="atLeast"/>
        </w:trPr>
        <w:tc>
          <w:tcPr>
            <w:tcW w:w="9271" w:type="dxa"/>
            <w:tcBorders>
              <w:left w:val="nil"/>
              <w:right w:val="single" w:sz="4" w:space="0" w:color="FFFF00"/>
            </w:tcBorders>
            <w:shd w:val="clear" w:color="auto" w:fill="000000"/>
          </w:tcPr>
          <w:p>
            <w:pPr>
              <w:pStyle w:val="TableParagraph"/>
              <w:spacing w:line="193" w:lineRule="exact" w:before="100"/>
              <w:ind w:left="1441" w:right="1442"/>
              <w:rPr>
                <w:b/>
                <w:sz w:val="18"/>
              </w:rPr>
            </w:pPr>
            <w:r>
              <w:rPr>
                <w:b/>
                <w:color w:val="FFFFFF"/>
                <w:sz w:val="18"/>
              </w:rPr>
              <w:t>Percentage of Administrative Purchased Services to Salaries and Benefits</w:t>
            </w:r>
          </w:p>
        </w:tc>
      </w:tr>
      <w:tr>
        <w:trPr>
          <w:trHeight w:val="300" w:hRule="atLeast"/>
        </w:trPr>
        <w:tc>
          <w:tcPr>
            <w:tcW w:w="9271" w:type="dxa"/>
            <w:tcBorders>
              <w:top w:val="single" w:sz="18" w:space="0" w:color="5B9BD4"/>
              <w:left w:val="single" w:sz="8" w:space="0" w:color="000000"/>
              <w:bottom w:val="single" w:sz="8" w:space="0" w:color="000000"/>
              <w:right w:val="single" w:sz="8" w:space="0" w:color="000000"/>
            </w:tcBorders>
          </w:tcPr>
          <w:p>
            <w:pPr>
              <w:pStyle w:val="TableParagraph"/>
              <w:spacing w:line="244" w:lineRule="exact" w:before="55"/>
              <w:ind w:left="4232" w:right="4232"/>
              <w:rPr>
                <w:b/>
                <w:sz w:val="22"/>
              </w:rPr>
            </w:pPr>
            <w:r>
              <w:rPr>
                <w:b/>
                <w:sz w:val="22"/>
              </w:rPr>
              <w:t>84.06%</w:t>
            </w:r>
          </w:p>
        </w:tc>
      </w:tr>
    </w:tbl>
    <w:p>
      <w:pPr>
        <w:pStyle w:val="BodyText"/>
        <w:rPr>
          <w:sz w:val="26"/>
        </w:rPr>
      </w:pPr>
    </w:p>
    <w:p>
      <w:pPr>
        <w:pStyle w:val="BodyText"/>
        <w:spacing w:line="276" w:lineRule="auto" w:before="215"/>
        <w:ind w:left="240" w:right="115"/>
        <w:jc w:val="both"/>
      </w:pPr>
      <w:r>
        <w:rPr/>
        <w:t>It is noteworthy that the 23% of charters doing the right thing in other areas of their finances</w:t>
      </w:r>
      <w:r>
        <w:rPr>
          <w:spacing w:val="-14"/>
        </w:rPr>
        <w:t> </w:t>
      </w:r>
      <w:r>
        <w:rPr/>
        <w:t>also</w:t>
      </w:r>
      <w:r>
        <w:rPr>
          <w:spacing w:val="-16"/>
        </w:rPr>
        <w:t> </w:t>
      </w:r>
      <w:r>
        <w:rPr/>
        <w:t>ensure</w:t>
      </w:r>
      <w:r>
        <w:rPr>
          <w:spacing w:val="-16"/>
        </w:rPr>
        <w:t> </w:t>
      </w:r>
      <w:r>
        <w:rPr/>
        <w:t>that</w:t>
      </w:r>
      <w:r>
        <w:rPr>
          <w:spacing w:val="-16"/>
        </w:rPr>
        <w:t> </w:t>
      </w:r>
      <w:r>
        <w:rPr/>
        <w:t>more</w:t>
      </w:r>
      <w:r>
        <w:rPr>
          <w:spacing w:val="-16"/>
        </w:rPr>
        <w:t> </w:t>
      </w:r>
      <w:r>
        <w:rPr/>
        <w:t>money</w:t>
      </w:r>
      <w:r>
        <w:rPr>
          <w:spacing w:val="-16"/>
        </w:rPr>
        <w:t> </w:t>
      </w:r>
      <w:r>
        <w:rPr/>
        <w:t>is</w:t>
      </w:r>
      <w:r>
        <w:rPr>
          <w:spacing w:val="-14"/>
        </w:rPr>
        <w:t> </w:t>
      </w:r>
      <w:r>
        <w:rPr/>
        <w:t>going</w:t>
      </w:r>
      <w:r>
        <w:rPr>
          <w:spacing w:val="-15"/>
        </w:rPr>
        <w:t> </w:t>
      </w:r>
      <w:r>
        <w:rPr/>
        <w:t>into</w:t>
      </w:r>
      <w:r>
        <w:rPr>
          <w:spacing w:val="-15"/>
        </w:rPr>
        <w:t> </w:t>
      </w:r>
      <w:r>
        <w:rPr/>
        <w:t>the</w:t>
      </w:r>
      <w:r>
        <w:rPr>
          <w:spacing w:val="-13"/>
        </w:rPr>
        <w:t> </w:t>
      </w:r>
      <w:r>
        <w:rPr/>
        <w:t>classroom.</w:t>
      </w:r>
      <w:r>
        <w:rPr>
          <w:spacing w:val="-18"/>
        </w:rPr>
        <w:t> </w:t>
      </w:r>
      <w:r>
        <w:rPr/>
        <w:t>This</w:t>
      </w:r>
      <w:r>
        <w:rPr>
          <w:spacing w:val="-14"/>
        </w:rPr>
        <w:t> </w:t>
      </w:r>
      <w:r>
        <w:rPr/>
        <w:t>is</w:t>
      </w:r>
      <w:r>
        <w:rPr>
          <w:spacing w:val="-14"/>
        </w:rPr>
        <w:t> </w:t>
      </w:r>
      <w:r>
        <w:rPr/>
        <w:t>a</w:t>
      </w:r>
      <w:r>
        <w:rPr>
          <w:spacing w:val="-16"/>
        </w:rPr>
        <w:t> </w:t>
      </w:r>
      <w:r>
        <w:rPr/>
        <w:t>plain</w:t>
      </w:r>
      <w:r>
        <w:rPr>
          <w:spacing w:val="-13"/>
        </w:rPr>
        <w:t> </w:t>
      </w:r>
      <w:r>
        <w:rPr/>
        <w:t>indicator of their dedication to providing an educational opportunity for their students while maintaining ethical and financial</w:t>
      </w:r>
      <w:r>
        <w:rPr>
          <w:spacing w:val="-18"/>
        </w:rPr>
        <w:t> </w:t>
      </w:r>
      <w:r>
        <w:rPr/>
        <w:t>integrity.</w:t>
      </w:r>
    </w:p>
    <w:p>
      <w:pPr>
        <w:spacing w:line="276" w:lineRule="auto" w:before="191"/>
        <w:ind w:left="240" w:right="115" w:firstLine="0"/>
        <w:jc w:val="both"/>
        <w:rPr>
          <w:sz w:val="22"/>
        </w:rPr>
      </w:pPr>
      <w:r>
        <w:rPr>
          <w:b/>
          <w:sz w:val="22"/>
        </w:rPr>
        <w:t>Recommendation: </w:t>
      </w:r>
      <w:r>
        <w:rPr>
          <w:sz w:val="22"/>
        </w:rPr>
        <w:t>Charter school financial data regarding classroom expenditures needs to be shared and evaluated by the Auditor General’s Office just as they are for public district schools. The lack of classroom spending and decent wages and benefits for teachers is an issue in the charter sector. A good portion of the differences in classroom spending can be assigned to low benefits</w:t>
      </w:r>
      <w:r>
        <w:rPr>
          <w:spacing w:val="-16"/>
          <w:sz w:val="22"/>
        </w:rPr>
        <w:t> </w:t>
      </w:r>
      <w:r>
        <w:rPr>
          <w:sz w:val="22"/>
        </w:rPr>
        <w:t>and</w:t>
      </w:r>
      <w:r>
        <w:rPr>
          <w:spacing w:val="-16"/>
          <w:sz w:val="22"/>
        </w:rPr>
        <w:t> </w:t>
      </w:r>
      <w:r>
        <w:rPr>
          <w:sz w:val="22"/>
        </w:rPr>
        <w:t>non-participation</w:t>
      </w:r>
      <w:r>
        <w:rPr>
          <w:spacing w:val="-16"/>
          <w:sz w:val="22"/>
        </w:rPr>
        <w:t> </w:t>
      </w:r>
      <w:r>
        <w:rPr>
          <w:sz w:val="22"/>
        </w:rPr>
        <w:t>in</w:t>
      </w:r>
      <w:r>
        <w:rPr>
          <w:spacing w:val="-16"/>
          <w:sz w:val="22"/>
        </w:rPr>
        <w:t> </w:t>
      </w:r>
      <w:r>
        <w:rPr>
          <w:sz w:val="22"/>
        </w:rPr>
        <w:t>the</w:t>
      </w:r>
      <w:r>
        <w:rPr>
          <w:spacing w:val="-16"/>
          <w:sz w:val="22"/>
        </w:rPr>
        <w:t> </w:t>
      </w:r>
      <w:r>
        <w:rPr>
          <w:sz w:val="22"/>
        </w:rPr>
        <w:t>AZ</w:t>
      </w:r>
      <w:r>
        <w:rPr>
          <w:spacing w:val="-16"/>
          <w:sz w:val="22"/>
        </w:rPr>
        <w:t> </w:t>
      </w:r>
      <w:r>
        <w:rPr>
          <w:sz w:val="22"/>
        </w:rPr>
        <w:t>Retirement</w:t>
      </w:r>
      <w:r>
        <w:rPr>
          <w:spacing w:val="-15"/>
          <w:sz w:val="22"/>
        </w:rPr>
        <w:t> </w:t>
      </w:r>
      <w:r>
        <w:rPr>
          <w:sz w:val="22"/>
        </w:rPr>
        <w:t>System.</w:t>
      </w:r>
      <w:r>
        <w:rPr>
          <w:spacing w:val="-17"/>
          <w:sz w:val="22"/>
        </w:rPr>
        <w:t> </w:t>
      </w:r>
      <w:r>
        <w:rPr>
          <w:sz w:val="22"/>
        </w:rPr>
        <w:t>These</w:t>
      </w:r>
      <w:r>
        <w:rPr>
          <w:spacing w:val="-16"/>
          <w:sz w:val="22"/>
        </w:rPr>
        <w:t> </w:t>
      </w:r>
      <w:r>
        <w:rPr>
          <w:sz w:val="22"/>
        </w:rPr>
        <w:t>areas</w:t>
      </w:r>
      <w:r>
        <w:rPr>
          <w:spacing w:val="-16"/>
          <w:sz w:val="22"/>
        </w:rPr>
        <w:t> </w:t>
      </w:r>
      <w:r>
        <w:rPr>
          <w:sz w:val="22"/>
        </w:rPr>
        <w:t>are</w:t>
      </w:r>
      <w:r>
        <w:rPr>
          <w:spacing w:val="-18"/>
          <w:sz w:val="22"/>
        </w:rPr>
        <w:t> </w:t>
      </w:r>
      <w:r>
        <w:rPr>
          <w:sz w:val="22"/>
        </w:rPr>
        <w:t>factors</w:t>
      </w:r>
      <w:r>
        <w:rPr>
          <w:spacing w:val="-16"/>
          <w:sz w:val="22"/>
        </w:rPr>
        <w:t> </w:t>
      </w:r>
      <w:r>
        <w:rPr>
          <w:sz w:val="22"/>
        </w:rPr>
        <w:t>in</w:t>
      </w:r>
      <w:r>
        <w:rPr>
          <w:spacing w:val="-18"/>
          <w:sz w:val="22"/>
        </w:rPr>
        <w:t> </w:t>
      </w:r>
      <w:r>
        <w:rPr>
          <w:sz w:val="22"/>
        </w:rPr>
        <w:t>generating the Classroom Spending segment of the Annual Superintendent’s</w:t>
      </w:r>
      <w:r>
        <w:rPr>
          <w:spacing w:val="-38"/>
          <w:sz w:val="22"/>
        </w:rPr>
        <w:t> </w:t>
      </w:r>
      <w:r>
        <w:rPr>
          <w:sz w:val="22"/>
        </w:rPr>
        <w:t>Reports.</w:t>
      </w:r>
    </w:p>
    <w:p>
      <w:pPr>
        <w:spacing w:after="0" w:line="276" w:lineRule="auto"/>
        <w:jc w:val="both"/>
        <w:rPr>
          <w:sz w:val="22"/>
        </w:rPr>
        <w:sectPr>
          <w:pgSz w:w="12240" w:h="15840"/>
          <w:pgMar w:header="740" w:footer="1002" w:top="940" w:bottom="1200" w:left="1200" w:right="1320"/>
        </w:sectPr>
      </w:pPr>
    </w:p>
    <w:p>
      <w:pPr>
        <w:pStyle w:val="BodyText"/>
        <w:rPr>
          <w:sz w:val="20"/>
        </w:rPr>
      </w:pPr>
    </w:p>
    <w:p>
      <w:pPr>
        <w:pStyle w:val="BodyText"/>
        <w:spacing w:before="2"/>
        <w:rPr>
          <w:sz w:val="22"/>
        </w:rPr>
      </w:pPr>
    </w:p>
    <w:p>
      <w:pPr>
        <w:pStyle w:val="BodyText"/>
        <w:ind w:left="2740"/>
        <w:rPr>
          <w:sz w:val="20"/>
        </w:rPr>
      </w:pPr>
      <w:r>
        <w:rPr>
          <w:sz w:val="20"/>
        </w:rPr>
        <w:drawing>
          <wp:inline distT="0" distB="0" distL="0" distR="0">
            <wp:extent cx="2745233" cy="914400"/>
            <wp:effectExtent l="0" t="0" r="0" b="0"/>
            <wp:docPr id="37" name="image39.jpeg" descr=""/>
            <wp:cNvGraphicFramePr>
              <a:graphicFrameLocks noChangeAspect="1"/>
            </wp:cNvGraphicFramePr>
            <a:graphic>
              <a:graphicData uri="http://schemas.openxmlformats.org/drawingml/2006/picture">
                <pic:pic>
                  <pic:nvPicPr>
                    <pic:cNvPr id="38" name="image39.jpeg"/>
                    <pic:cNvPicPr/>
                  </pic:nvPicPr>
                  <pic:blipFill>
                    <a:blip r:embed="rId62" cstate="print"/>
                    <a:stretch>
                      <a:fillRect/>
                    </a:stretch>
                  </pic:blipFill>
                  <pic:spPr>
                    <a:xfrm>
                      <a:off x="0" y="0"/>
                      <a:ext cx="2745233" cy="914400"/>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3"/>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64"/>
        <w:gridCol w:w="4686"/>
      </w:tblGrid>
      <w:tr>
        <w:trPr>
          <w:trHeight w:val="520" w:hRule="atLeast"/>
        </w:trPr>
        <w:tc>
          <w:tcPr>
            <w:tcW w:w="4664" w:type="dxa"/>
            <w:shd w:val="clear" w:color="auto" w:fill="000000"/>
          </w:tcPr>
          <w:p>
            <w:pPr>
              <w:pStyle w:val="TableParagraph"/>
              <w:spacing w:before="3"/>
              <w:ind w:left="1877" w:right="1879"/>
              <w:rPr>
                <w:b/>
                <w:sz w:val="24"/>
              </w:rPr>
            </w:pPr>
            <w:bookmarkStart w:name="_bookmark58" w:id="59"/>
            <w:bookmarkEnd w:id="59"/>
            <w:r>
              <w:rPr/>
            </w:r>
            <w:r>
              <w:rPr>
                <w:b/>
                <w:color w:val="FFFFFF"/>
                <w:sz w:val="24"/>
              </w:rPr>
              <w:t>Finding</w:t>
            </w:r>
          </w:p>
        </w:tc>
        <w:tc>
          <w:tcPr>
            <w:tcW w:w="4686" w:type="dxa"/>
            <w:shd w:val="clear" w:color="auto" w:fill="000000"/>
          </w:tcPr>
          <w:p>
            <w:pPr>
              <w:pStyle w:val="TableParagraph"/>
              <w:spacing w:before="3"/>
              <w:ind w:left="1337"/>
              <w:jc w:val="left"/>
              <w:rPr>
                <w:b/>
                <w:sz w:val="24"/>
              </w:rPr>
            </w:pPr>
            <w:r>
              <w:rPr>
                <w:b/>
                <w:color w:val="FFFFFF"/>
                <w:sz w:val="24"/>
              </w:rPr>
              <w:t>Recommendation</w:t>
            </w:r>
          </w:p>
        </w:tc>
      </w:tr>
      <w:tr>
        <w:trPr>
          <w:trHeight w:val="4200" w:hRule="atLeast"/>
        </w:trPr>
        <w:tc>
          <w:tcPr>
            <w:tcW w:w="4664" w:type="dxa"/>
            <w:tcBorders>
              <w:left w:val="single" w:sz="4" w:space="0" w:color="000000"/>
              <w:right w:val="single" w:sz="4" w:space="0" w:color="000000"/>
            </w:tcBorders>
          </w:tcPr>
          <w:p>
            <w:pPr>
              <w:pStyle w:val="TableParagraph"/>
              <w:spacing w:line="276" w:lineRule="auto"/>
              <w:ind w:left="103" w:right="92"/>
              <w:jc w:val="both"/>
              <w:rPr>
                <w:sz w:val="24"/>
              </w:rPr>
            </w:pPr>
            <w:r>
              <w:rPr>
                <w:sz w:val="24"/>
              </w:rPr>
              <w:t>The charter sector as a whole underperforms academically relative to similar demographic students in public district schools. Online charters show particularly poor academic performance.</w:t>
            </w:r>
          </w:p>
        </w:tc>
        <w:tc>
          <w:tcPr>
            <w:tcW w:w="4686" w:type="dxa"/>
            <w:tcBorders>
              <w:left w:val="single" w:sz="4" w:space="0" w:color="000000"/>
              <w:right w:val="single" w:sz="4" w:space="0" w:color="000000"/>
            </w:tcBorders>
          </w:tcPr>
          <w:p>
            <w:pPr>
              <w:pStyle w:val="TableParagraph"/>
              <w:spacing w:line="276" w:lineRule="auto"/>
              <w:ind w:left="102" w:right="95"/>
              <w:jc w:val="both"/>
              <w:rPr>
                <w:sz w:val="24"/>
              </w:rPr>
            </w:pPr>
            <w:r>
              <w:rPr>
                <w:sz w:val="24"/>
              </w:rPr>
              <w:t>Improved financial oversight as outlined in this policy report and improved financial transparency for the public, including parents, would enable parents to make more informed choices regarding their child’s education and make charters more accountable to taxpayers.</w:t>
            </w:r>
          </w:p>
          <w:p>
            <w:pPr>
              <w:pStyle w:val="TableParagraph"/>
              <w:spacing w:line="276" w:lineRule="auto" w:before="206"/>
              <w:ind w:left="102" w:right="95"/>
              <w:jc w:val="both"/>
              <w:rPr>
                <w:sz w:val="24"/>
              </w:rPr>
            </w:pPr>
            <w:r>
              <w:rPr>
                <w:sz w:val="24"/>
              </w:rPr>
              <w:t>In addition, all online charters should be reviewed immediately to evaluate the quality of their academic offerings and student</w:t>
            </w:r>
            <w:r>
              <w:rPr>
                <w:spacing w:val="-19"/>
                <w:sz w:val="24"/>
              </w:rPr>
              <w:t> </w:t>
            </w:r>
            <w:r>
              <w:rPr>
                <w:sz w:val="24"/>
              </w:rPr>
              <w:t>achievement</w:t>
            </w:r>
            <w:r>
              <w:rPr>
                <w:spacing w:val="-19"/>
                <w:sz w:val="24"/>
              </w:rPr>
              <w:t> </w:t>
            </w:r>
            <w:r>
              <w:rPr>
                <w:sz w:val="24"/>
              </w:rPr>
              <w:t>to</w:t>
            </w:r>
            <w:r>
              <w:rPr>
                <w:spacing w:val="-18"/>
                <w:sz w:val="24"/>
              </w:rPr>
              <w:t> </w:t>
            </w:r>
            <w:r>
              <w:rPr>
                <w:sz w:val="24"/>
              </w:rPr>
              <w:t>determine</w:t>
            </w:r>
            <w:r>
              <w:rPr>
                <w:spacing w:val="-17"/>
                <w:sz w:val="24"/>
              </w:rPr>
              <w:t> </w:t>
            </w:r>
            <w:r>
              <w:rPr>
                <w:sz w:val="24"/>
              </w:rPr>
              <w:t>whether their charter should</w:t>
            </w:r>
            <w:r>
              <w:rPr>
                <w:spacing w:val="-29"/>
                <w:sz w:val="24"/>
              </w:rPr>
              <w:t> </w:t>
            </w:r>
            <w:r>
              <w:rPr>
                <w:sz w:val="24"/>
              </w:rPr>
              <w:t>continue.</w:t>
            </w:r>
          </w:p>
        </w:tc>
      </w:tr>
    </w:tbl>
    <w:p>
      <w:pPr>
        <w:pStyle w:val="BodyText"/>
        <w:rPr>
          <w:sz w:val="20"/>
        </w:rPr>
      </w:pPr>
    </w:p>
    <w:p>
      <w:pPr>
        <w:pStyle w:val="BodyText"/>
        <w:spacing w:before="3"/>
        <w:rPr>
          <w:sz w:val="17"/>
        </w:rPr>
      </w:pPr>
    </w:p>
    <w:p>
      <w:pPr>
        <w:pStyle w:val="BodyText"/>
        <w:spacing w:line="276" w:lineRule="auto" w:before="93"/>
        <w:ind w:left="218" w:right="107"/>
        <w:jc w:val="both"/>
      </w:pPr>
      <w:r>
        <w:rPr/>
        <w:t>The stated impetus behind expanded school choice in Arizona has been improving academic</w:t>
      </w:r>
      <w:r>
        <w:rPr>
          <w:spacing w:val="-13"/>
        </w:rPr>
        <w:t> </w:t>
      </w:r>
      <w:r>
        <w:rPr/>
        <w:t>performance.</w:t>
      </w:r>
      <w:r>
        <w:rPr>
          <w:spacing w:val="-12"/>
        </w:rPr>
        <w:t> </w:t>
      </w:r>
      <w:r>
        <w:rPr/>
        <w:t>It</w:t>
      </w:r>
      <w:r>
        <w:rPr>
          <w:spacing w:val="-12"/>
        </w:rPr>
        <w:t> </w:t>
      </w:r>
      <w:r>
        <w:rPr/>
        <w:t>is</w:t>
      </w:r>
      <w:r>
        <w:rPr>
          <w:spacing w:val="-13"/>
        </w:rPr>
        <w:t> </w:t>
      </w:r>
      <w:r>
        <w:rPr/>
        <w:t>based</w:t>
      </w:r>
      <w:r>
        <w:rPr>
          <w:spacing w:val="-12"/>
        </w:rPr>
        <w:t> </w:t>
      </w:r>
      <w:r>
        <w:rPr/>
        <w:t>on</w:t>
      </w:r>
      <w:r>
        <w:rPr>
          <w:spacing w:val="-12"/>
        </w:rPr>
        <w:t> </w:t>
      </w:r>
      <w:r>
        <w:rPr/>
        <w:t>the</w:t>
      </w:r>
      <w:r>
        <w:rPr>
          <w:spacing w:val="-12"/>
        </w:rPr>
        <w:t> </w:t>
      </w:r>
      <w:r>
        <w:rPr/>
        <w:t>assumption</w:t>
      </w:r>
      <w:r>
        <w:rPr>
          <w:spacing w:val="-12"/>
        </w:rPr>
        <w:t> </w:t>
      </w:r>
      <w:r>
        <w:rPr/>
        <w:t>that</w:t>
      </w:r>
      <w:r>
        <w:rPr>
          <w:spacing w:val="-14"/>
        </w:rPr>
        <w:t> </w:t>
      </w:r>
      <w:r>
        <w:rPr/>
        <w:t>parents</w:t>
      </w:r>
      <w:r>
        <w:rPr>
          <w:spacing w:val="-12"/>
        </w:rPr>
        <w:t> </w:t>
      </w:r>
      <w:r>
        <w:rPr/>
        <w:t>would</w:t>
      </w:r>
      <w:r>
        <w:rPr>
          <w:spacing w:val="-12"/>
        </w:rPr>
        <w:t> </w:t>
      </w:r>
      <w:r>
        <w:rPr/>
        <w:t>choose</w:t>
      </w:r>
      <w:r>
        <w:rPr>
          <w:spacing w:val="-14"/>
        </w:rPr>
        <w:t> </w:t>
      </w:r>
      <w:r>
        <w:rPr/>
        <w:t>the</w:t>
      </w:r>
      <w:r>
        <w:rPr>
          <w:spacing w:val="-14"/>
        </w:rPr>
        <w:t> </w:t>
      </w:r>
      <w:r>
        <w:rPr/>
        <w:t>best school</w:t>
      </w:r>
      <w:r>
        <w:rPr>
          <w:spacing w:val="-14"/>
        </w:rPr>
        <w:t> </w:t>
      </w:r>
      <w:r>
        <w:rPr/>
        <w:t>for</w:t>
      </w:r>
      <w:r>
        <w:rPr>
          <w:spacing w:val="-12"/>
        </w:rPr>
        <w:t> </w:t>
      </w:r>
      <w:r>
        <w:rPr/>
        <w:t>their</w:t>
      </w:r>
      <w:r>
        <w:rPr>
          <w:spacing w:val="-13"/>
        </w:rPr>
        <w:t> </w:t>
      </w:r>
      <w:r>
        <w:rPr/>
        <w:t>children</w:t>
      </w:r>
      <w:r>
        <w:rPr>
          <w:spacing w:val="-13"/>
        </w:rPr>
        <w:t> </w:t>
      </w:r>
      <w:r>
        <w:rPr/>
        <w:t>(Fuller</w:t>
      </w:r>
      <w:r>
        <w:rPr>
          <w:spacing w:val="-12"/>
        </w:rPr>
        <w:t> </w:t>
      </w:r>
      <w:r>
        <w:rPr/>
        <w:t>1997,</w:t>
      </w:r>
      <w:r>
        <w:rPr>
          <w:spacing w:val="-11"/>
        </w:rPr>
        <w:t> </w:t>
      </w:r>
      <w:r>
        <w:rPr/>
        <w:t>Hoxby</w:t>
      </w:r>
      <w:r>
        <w:rPr>
          <w:spacing w:val="-14"/>
        </w:rPr>
        <w:t> </w:t>
      </w:r>
      <w:r>
        <w:rPr/>
        <w:t>2003).</w:t>
      </w:r>
      <w:r>
        <w:rPr>
          <w:spacing w:val="-12"/>
        </w:rPr>
        <w:t> </w:t>
      </w:r>
      <w:r>
        <w:rPr/>
        <w:t>Likewise</w:t>
      </w:r>
      <w:r>
        <w:rPr>
          <w:spacing w:val="-11"/>
        </w:rPr>
        <w:t> </w:t>
      </w:r>
      <w:r>
        <w:rPr/>
        <w:t>the</w:t>
      </w:r>
      <w:r>
        <w:rPr>
          <w:spacing w:val="-11"/>
        </w:rPr>
        <w:t> </w:t>
      </w:r>
      <w:r>
        <w:rPr/>
        <w:t>theory</w:t>
      </w:r>
      <w:r>
        <w:rPr>
          <w:spacing w:val="-12"/>
        </w:rPr>
        <w:t> </w:t>
      </w:r>
      <w:r>
        <w:rPr/>
        <w:t>implies</w:t>
      </w:r>
      <w:r>
        <w:rPr>
          <w:spacing w:val="-12"/>
        </w:rPr>
        <w:t> </w:t>
      </w:r>
      <w:r>
        <w:rPr/>
        <w:t>that</w:t>
      </w:r>
      <w:r>
        <w:rPr>
          <w:spacing w:val="-11"/>
        </w:rPr>
        <w:t> </w:t>
      </w:r>
      <w:r>
        <w:rPr/>
        <w:t>public district schools are supposed to also improve since they must now compete for students in order to retain funding. Consequently one would expect that since charter enrollments have grown at a faster rate than public district schools that data for equivalent students would show charter students outperforming public district</w:t>
      </w:r>
      <w:r>
        <w:rPr>
          <w:spacing w:val="-19"/>
        </w:rPr>
        <w:t> </w:t>
      </w:r>
      <w:r>
        <w:rPr/>
        <w:t>schools.</w:t>
      </w:r>
    </w:p>
    <w:p>
      <w:pPr>
        <w:pStyle w:val="BodyText"/>
        <w:spacing w:line="276" w:lineRule="auto" w:before="200"/>
        <w:ind w:left="218" w:right="116"/>
        <w:jc w:val="both"/>
      </w:pPr>
      <w:r>
        <w:rPr/>
        <w:t>The main purpose of the policy reports in this series is to discuss the financial and governance practices of charters as they currently exist. However, in the past, the defenders</w:t>
      </w:r>
      <w:r>
        <w:rPr>
          <w:spacing w:val="-4"/>
        </w:rPr>
        <w:t> </w:t>
      </w:r>
      <w:r>
        <w:rPr/>
        <w:t>of</w:t>
      </w:r>
      <w:r>
        <w:rPr>
          <w:spacing w:val="-4"/>
        </w:rPr>
        <w:t> </w:t>
      </w:r>
      <w:r>
        <w:rPr/>
        <w:t>the</w:t>
      </w:r>
      <w:r>
        <w:rPr>
          <w:spacing w:val="-4"/>
        </w:rPr>
        <w:t> </w:t>
      </w:r>
      <w:r>
        <w:rPr/>
        <w:t>status</w:t>
      </w:r>
      <w:r>
        <w:rPr>
          <w:spacing w:val="-7"/>
        </w:rPr>
        <w:t> </w:t>
      </w:r>
      <w:r>
        <w:rPr/>
        <w:t>quo</w:t>
      </w:r>
      <w:r>
        <w:rPr>
          <w:spacing w:val="-4"/>
        </w:rPr>
        <w:t> </w:t>
      </w:r>
      <w:r>
        <w:rPr/>
        <w:t>have</w:t>
      </w:r>
      <w:r>
        <w:rPr>
          <w:spacing w:val="-4"/>
        </w:rPr>
        <w:t> </w:t>
      </w:r>
      <w:r>
        <w:rPr/>
        <w:t>suggested</w:t>
      </w:r>
      <w:r>
        <w:rPr>
          <w:spacing w:val="-4"/>
        </w:rPr>
        <w:t> </w:t>
      </w:r>
      <w:r>
        <w:rPr/>
        <w:t>that</w:t>
      </w:r>
      <w:r>
        <w:rPr>
          <w:spacing w:val="-4"/>
        </w:rPr>
        <w:t> </w:t>
      </w:r>
      <w:r>
        <w:rPr/>
        <w:t>academics</w:t>
      </w:r>
      <w:r>
        <w:rPr>
          <w:spacing w:val="-5"/>
        </w:rPr>
        <w:t> </w:t>
      </w:r>
      <w:r>
        <w:rPr/>
        <w:t>remain</w:t>
      </w:r>
      <w:r>
        <w:rPr>
          <w:spacing w:val="-6"/>
        </w:rPr>
        <w:t> </w:t>
      </w:r>
      <w:r>
        <w:rPr/>
        <w:t>the</w:t>
      </w:r>
      <w:r>
        <w:rPr>
          <w:spacing w:val="-6"/>
        </w:rPr>
        <w:t> </w:t>
      </w:r>
      <w:r>
        <w:rPr/>
        <w:t>focus</w:t>
      </w:r>
      <w:r>
        <w:rPr>
          <w:spacing w:val="-4"/>
        </w:rPr>
        <w:t> </w:t>
      </w:r>
      <w:r>
        <w:rPr/>
        <w:t>of</w:t>
      </w:r>
      <w:r>
        <w:rPr>
          <w:spacing w:val="-2"/>
        </w:rPr>
        <w:t> </w:t>
      </w:r>
      <w:r>
        <w:rPr/>
        <w:t>ASBCS' efforts. “Are they educating kids? We’re looking at that first”. This quote from the head</w:t>
      </w:r>
      <w:r>
        <w:rPr>
          <w:spacing w:val="-42"/>
        </w:rPr>
        <w:t> </w:t>
      </w:r>
      <w:r>
        <w:rPr/>
        <w:t>of the ASBCS was given in 2012 in response to a reporter’s query regarding charter</w:t>
      </w:r>
      <w:r>
        <w:rPr>
          <w:spacing w:val="-44"/>
        </w:rPr>
        <w:t> </w:t>
      </w:r>
      <w:r>
        <w:rPr/>
        <w:t>school financial issues (Ryman 2012). The reporter’s question was sidestepped by the</w:t>
      </w:r>
      <w:r>
        <w:rPr>
          <w:spacing w:val="-40"/>
        </w:rPr>
        <w:t> </w:t>
      </w:r>
      <w:r>
        <w:rPr/>
        <w:t>answer.</w:t>
      </w:r>
    </w:p>
    <w:p>
      <w:pPr>
        <w:spacing w:after="0" w:line="276" w:lineRule="auto"/>
        <w:jc w:val="both"/>
        <w:sectPr>
          <w:pgSz w:w="12240" w:h="15840"/>
          <w:pgMar w:header="740" w:footer="1002" w:top="940" w:bottom="1200" w:left="1220" w:right="1320"/>
        </w:sectPr>
      </w:pPr>
    </w:p>
    <w:p>
      <w:pPr>
        <w:pStyle w:val="BodyText"/>
        <w:rPr>
          <w:sz w:val="20"/>
        </w:rPr>
      </w:pPr>
    </w:p>
    <w:p>
      <w:pPr>
        <w:pStyle w:val="BodyText"/>
        <w:spacing w:before="7"/>
        <w:rPr>
          <w:sz w:val="21"/>
        </w:rPr>
      </w:pPr>
    </w:p>
    <w:p>
      <w:pPr>
        <w:spacing w:line="276" w:lineRule="auto" w:before="0"/>
        <w:ind w:left="100" w:right="112" w:firstLine="0"/>
        <w:jc w:val="both"/>
        <w:rPr>
          <w:i/>
          <w:sz w:val="24"/>
        </w:rPr>
      </w:pPr>
      <w:r>
        <w:rPr>
          <w:sz w:val="24"/>
        </w:rPr>
        <w:t>The charter laws, by relying on “good faith”, empower and enable the charter holders, (and</w:t>
      </w:r>
      <w:r>
        <w:rPr>
          <w:spacing w:val="-4"/>
          <w:sz w:val="24"/>
        </w:rPr>
        <w:t> </w:t>
      </w:r>
      <w:r>
        <w:rPr>
          <w:sz w:val="24"/>
        </w:rPr>
        <w:t>private</w:t>
      </w:r>
      <w:r>
        <w:rPr>
          <w:spacing w:val="-3"/>
          <w:sz w:val="24"/>
        </w:rPr>
        <w:t> </w:t>
      </w:r>
      <w:r>
        <w:rPr>
          <w:sz w:val="24"/>
        </w:rPr>
        <w:t>schools</w:t>
      </w:r>
      <w:r>
        <w:rPr>
          <w:spacing w:val="-5"/>
          <w:sz w:val="24"/>
        </w:rPr>
        <w:t> </w:t>
      </w:r>
      <w:r>
        <w:rPr>
          <w:sz w:val="24"/>
        </w:rPr>
        <w:t>by</w:t>
      </w:r>
      <w:r>
        <w:rPr>
          <w:spacing w:val="-7"/>
          <w:sz w:val="24"/>
        </w:rPr>
        <w:t> </w:t>
      </w:r>
      <w:r>
        <w:rPr>
          <w:sz w:val="24"/>
        </w:rPr>
        <w:t>lack</w:t>
      </w:r>
      <w:r>
        <w:rPr>
          <w:spacing w:val="-4"/>
          <w:sz w:val="24"/>
        </w:rPr>
        <w:t> </w:t>
      </w:r>
      <w:r>
        <w:rPr>
          <w:sz w:val="24"/>
        </w:rPr>
        <w:t>of</w:t>
      </w:r>
      <w:r>
        <w:rPr>
          <w:spacing w:val="-2"/>
          <w:sz w:val="24"/>
        </w:rPr>
        <w:t> </w:t>
      </w:r>
      <w:r>
        <w:rPr>
          <w:sz w:val="24"/>
        </w:rPr>
        <w:t>over-sight)</w:t>
      </w:r>
      <w:r>
        <w:rPr>
          <w:spacing w:val="-5"/>
          <w:sz w:val="24"/>
        </w:rPr>
        <w:t> </w:t>
      </w:r>
      <w:r>
        <w:rPr>
          <w:sz w:val="24"/>
        </w:rPr>
        <w:t>to</w:t>
      </w:r>
      <w:r>
        <w:rPr>
          <w:spacing w:val="-3"/>
          <w:sz w:val="24"/>
        </w:rPr>
        <w:t> </w:t>
      </w:r>
      <w:r>
        <w:rPr>
          <w:sz w:val="24"/>
        </w:rPr>
        <w:t>use</w:t>
      </w:r>
      <w:r>
        <w:rPr>
          <w:spacing w:val="-4"/>
          <w:sz w:val="24"/>
        </w:rPr>
        <w:t> </w:t>
      </w:r>
      <w:r>
        <w:rPr>
          <w:sz w:val="24"/>
        </w:rPr>
        <w:t>situational</w:t>
      </w:r>
      <w:r>
        <w:rPr>
          <w:spacing w:val="-5"/>
          <w:sz w:val="24"/>
        </w:rPr>
        <w:t> </w:t>
      </w:r>
      <w:r>
        <w:rPr>
          <w:sz w:val="24"/>
        </w:rPr>
        <w:t>ethics</w:t>
      </w:r>
      <w:r>
        <w:rPr>
          <w:spacing w:val="-7"/>
          <w:sz w:val="24"/>
        </w:rPr>
        <w:t> </w:t>
      </w:r>
      <w:r>
        <w:rPr>
          <w:sz w:val="24"/>
        </w:rPr>
        <w:t>when</w:t>
      </w:r>
      <w:r>
        <w:rPr>
          <w:spacing w:val="-4"/>
          <w:sz w:val="24"/>
        </w:rPr>
        <w:t> </w:t>
      </w:r>
      <w:r>
        <w:rPr>
          <w:sz w:val="24"/>
        </w:rPr>
        <w:t>it</w:t>
      </w:r>
      <w:r>
        <w:rPr>
          <w:spacing w:val="-4"/>
          <w:sz w:val="24"/>
        </w:rPr>
        <w:t> </w:t>
      </w:r>
      <w:r>
        <w:rPr>
          <w:sz w:val="24"/>
        </w:rPr>
        <w:t>comes</w:t>
      </w:r>
      <w:r>
        <w:rPr>
          <w:spacing w:val="-4"/>
          <w:sz w:val="24"/>
        </w:rPr>
        <w:t> </w:t>
      </w:r>
      <w:r>
        <w:rPr>
          <w:sz w:val="24"/>
        </w:rPr>
        <w:t>to</w:t>
      </w:r>
      <w:r>
        <w:rPr>
          <w:spacing w:val="-4"/>
          <w:sz w:val="24"/>
        </w:rPr>
        <w:t> </w:t>
      </w:r>
      <w:r>
        <w:rPr>
          <w:sz w:val="24"/>
        </w:rPr>
        <w:t>their application and interpretation of the limited laws that are in place. </w:t>
      </w:r>
      <w:r>
        <w:rPr>
          <w:i/>
          <w:sz w:val="24"/>
        </w:rPr>
        <w:t>The laws silence on </w:t>
      </w:r>
      <w:r>
        <w:rPr>
          <w:i/>
          <w:sz w:val="24"/>
        </w:rPr>
        <w:t>what constitutes ethical business practices is</w:t>
      </w:r>
      <w:r>
        <w:rPr>
          <w:i/>
          <w:spacing w:val="-36"/>
          <w:sz w:val="24"/>
        </w:rPr>
        <w:t> </w:t>
      </w:r>
      <w:r>
        <w:rPr>
          <w:i/>
          <w:sz w:val="24"/>
        </w:rPr>
        <w:t>deafening.</w:t>
      </w:r>
    </w:p>
    <w:p>
      <w:pPr>
        <w:pStyle w:val="BodyText"/>
        <w:spacing w:line="273" w:lineRule="auto" w:before="206"/>
        <w:ind w:left="100" w:right="113"/>
        <w:jc w:val="both"/>
      </w:pPr>
      <w:r>
        <w:rPr/>
        <w:t>Consider the law’s wording: “A sponsor, including members, officers and employees of the</w:t>
      </w:r>
      <w:r>
        <w:rPr>
          <w:spacing w:val="-13"/>
        </w:rPr>
        <w:t> </w:t>
      </w:r>
      <w:r>
        <w:rPr/>
        <w:t>sponsor,</w:t>
      </w:r>
      <w:r>
        <w:rPr>
          <w:spacing w:val="-14"/>
        </w:rPr>
        <w:t> </w:t>
      </w:r>
      <w:r>
        <w:rPr/>
        <w:t>are</w:t>
      </w:r>
      <w:r>
        <w:rPr>
          <w:spacing w:val="-14"/>
        </w:rPr>
        <w:t> </w:t>
      </w:r>
      <w:r>
        <w:rPr/>
        <w:t>immune</w:t>
      </w:r>
      <w:r>
        <w:rPr>
          <w:spacing w:val="-16"/>
        </w:rPr>
        <w:t> </w:t>
      </w:r>
      <w:r>
        <w:rPr/>
        <w:t>from</w:t>
      </w:r>
      <w:r>
        <w:rPr>
          <w:spacing w:val="-13"/>
        </w:rPr>
        <w:t> </w:t>
      </w:r>
      <w:r>
        <w:rPr/>
        <w:t>personal</w:t>
      </w:r>
      <w:r>
        <w:rPr>
          <w:spacing w:val="-14"/>
        </w:rPr>
        <w:t> </w:t>
      </w:r>
      <w:r>
        <w:rPr/>
        <w:t>liability</w:t>
      </w:r>
      <w:r>
        <w:rPr>
          <w:spacing w:val="-16"/>
        </w:rPr>
        <w:t> </w:t>
      </w:r>
      <w:r>
        <w:rPr/>
        <w:t>for</w:t>
      </w:r>
      <w:r>
        <w:rPr>
          <w:spacing w:val="-15"/>
        </w:rPr>
        <w:t> </w:t>
      </w:r>
      <w:r>
        <w:rPr/>
        <w:t>all</w:t>
      </w:r>
      <w:r>
        <w:rPr>
          <w:spacing w:val="-15"/>
        </w:rPr>
        <w:t> </w:t>
      </w:r>
      <w:r>
        <w:rPr/>
        <w:t>acts</w:t>
      </w:r>
      <w:r>
        <w:rPr>
          <w:spacing w:val="-13"/>
        </w:rPr>
        <w:t> </w:t>
      </w:r>
      <w:r>
        <w:rPr/>
        <w:t>done</w:t>
      </w:r>
      <w:r>
        <w:rPr>
          <w:spacing w:val="-13"/>
        </w:rPr>
        <w:t> </w:t>
      </w:r>
      <w:r>
        <w:rPr/>
        <w:t>and</w:t>
      </w:r>
      <w:r>
        <w:rPr>
          <w:spacing w:val="-16"/>
        </w:rPr>
        <w:t> </w:t>
      </w:r>
      <w:r>
        <w:rPr/>
        <w:t>actions</w:t>
      </w:r>
      <w:r>
        <w:rPr>
          <w:spacing w:val="-8"/>
        </w:rPr>
        <w:t> </w:t>
      </w:r>
      <w:r>
        <w:rPr>
          <w:i/>
        </w:rPr>
        <w:t>taken</w:t>
      </w:r>
      <w:r>
        <w:rPr>
          <w:i/>
          <w:spacing w:val="-13"/>
        </w:rPr>
        <w:t> </w:t>
      </w:r>
      <w:r>
        <w:rPr>
          <w:i/>
        </w:rPr>
        <w:t>in</w:t>
      </w:r>
      <w:r>
        <w:rPr>
          <w:i/>
          <w:spacing w:val="-13"/>
        </w:rPr>
        <w:t> </w:t>
      </w:r>
      <w:r>
        <w:rPr>
          <w:i/>
        </w:rPr>
        <w:t>good </w:t>
      </w:r>
      <w:r>
        <w:rPr>
          <w:i/>
        </w:rPr>
        <w:t>faith </w:t>
      </w:r>
      <w:r>
        <w:rPr/>
        <w:t>within the scope of its</w:t>
      </w:r>
      <w:r>
        <w:rPr>
          <w:spacing w:val="-16"/>
        </w:rPr>
        <w:t> </w:t>
      </w:r>
      <w:r>
        <w:rPr/>
        <w:t>authority.”</w:t>
      </w:r>
    </w:p>
    <w:p>
      <w:pPr>
        <w:pStyle w:val="BodyText"/>
        <w:spacing w:line="276" w:lineRule="auto" w:before="209"/>
        <w:ind w:left="100" w:right="114"/>
        <w:jc w:val="both"/>
      </w:pPr>
      <w:r>
        <w:rPr/>
        <w:t>This</w:t>
      </w:r>
      <w:r>
        <w:rPr>
          <w:spacing w:val="-12"/>
        </w:rPr>
        <w:t> </w:t>
      </w:r>
      <w:r>
        <w:rPr/>
        <w:t>is</w:t>
      </w:r>
      <w:r>
        <w:rPr>
          <w:spacing w:val="-12"/>
        </w:rPr>
        <w:t> </w:t>
      </w:r>
      <w:r>
        <w:rPr/>
        <w:t>great</w:t>
      </w:r>
      <w:r>
        <w:rPr>
          <w:spacing w:val="-11"/>
        </w:rPr>
        <w:t> </w:t>
      </w:r>
      <w:r>
        <w:rPr/>
        <w:t>freedom</w:t>
      </w:r>
      <w:r>
        <w:rPr>
          <w:spacing w:val="-13"/>
        </w:rPr>
        <w:t> </w:t>
      </w:r>
      <w:r>
        <w:rPr/>
        <w:t>for</w:t>
      </w:r>
      <w:r>
        <w:rPr>
          <w:spacing w:val="-12"/>
        </w:rPr>
        <w:t> </w:t>
      </w:r>
      <w:r>
        <w:rPr/>
        <w:t>actions</w:t>
      </w:r>
      <w:r>
        <w:rPr>
          <w:spacing w:val="-12"/>
        </w:rPr>
        <w:t> </w:t>
      </w:r>
      <w:r>
        <w:rPr/>
        <w:t>taken</w:t>
      </w:r>
      <w:r>
        <w:rPr>
          <w:spacing w:val="-11"/>
        </w:rPr>
        <w:t> </w:t>
      </w:r>
      <w:r>
        <w:rPr/>
        <w:t>by</w:t>
      </w:r>
      <w:r>
        <w:rPr>
          <w:spacing w:val="-14"/>
        </w:rPr>
        <w:t> </w:t>
      </w:r>
      <w:r>
        <w:rPr/>
        <w:t>leadership</w:t>
      </w:r>
      <w:r>
        <w:rPr>
          <w:spacing w:val="-11"/>
        </w:rPr>
        <w:t> </w:t>
      </w:r>
      <w:r>
        <w:rPr/>
        <w:t>and</w:t>
      </w:r>
      <w:r>
        <w:rPr>
          <w:spacing w:val="-11"/>
        </w:rPr>
        <w:t> </w:t>
      </w:r>
      <w:r>
        <w:rPr/>
        <w:t>governing</w:t>
      </w:r>
      <w:r>
        <w:rPr>
          <w:spacing w:val="-11"/>
        </w:rPr>
        <w:t> </w:t>
      </w:r>
      <w:r>
        <w:rPr/>
        <w:t>bodies</w:t>
      </w:r>
      <w:r>
        <w:rPr>
          <w:spacing w:val="-11"/>
        </w:rPr>
        <w:t> </w:t>
      </w:r>
      <w:r>
        <w:rPr/>
        <w:t>at</w:t>
      </w:r>
      <w:r>
        <w:rPr>
          <w:spacing w:val="-11"/>
        </w:rPr>
        <w:t> </w:t>
      </w:r>
      <w:r>
        <w:rPr/>
        <w:t>charter</w:t>
      </w:r>
      <w:r>
        <w:rPr>
          <w:spacing w:val="-12"/>
        </w:rPr>
        <w:t> </w:t>
      </w:r>
      <w:r>
        <w:rPr/>
        <w:t>and private authorizers. It is granted without the great personal responsibility that should attend such freedom for that authorizing agency. Good faith should include making and enforcing recommendations to improve the fiscal accountability of charter holders and their</w:t>
      </w:r>
      <w:r>
        <w:rPr>
          <w:spacing w:val="-3"/>
        </w:rPr>
        <w:t> </w:t>
      </w:r>
      <w:r>
        <w:rPr/>
        <w:t>boards.</w:t>
      </w:r>
    </w:p>
    <w:p>
      <w:pPr>
        <w:pStyle w:val="BodyText"/>
        <w:spacing w:line="276" w:lineRule="auto" w:before="202"/>
        <w:ind w:left="100" w:right="114"/>
        <w:jc w:val="both"/>
      </w:pPr>
      <w:r>
        <w:rPr/>
        <w:t>There are no “clear cut” operational rules in place when you have given the type of “freedom”</w:t>
      </w:r>
      <w:r>
        <w:rPr>
          <w:spacing w:val="-13"/>
        </w:rPr>
        <w:t> </w:t>
      </w:r>
      <w:r>
        <w:rPr/>
        <w:t>as</w:t>
      </w:r>
      <w:r>
        <w:rPr>
          <w:spacing w:val="-13"/>
        </w:rPr>
        <w:t> </w:t>
      </w:r>
      <w:r>
        <w:rPr/>
        <w:t>described</w:t>
      </w:r>
      <w:r>
        <w:rPr>
          <w:spacing w:val="-14"/>
        </w:rPr>
        <w:t> </w:t>
      </w:r>
      <w:r>
        <w:rPr/>
        <w:t>in</w:t>
      </w:r>
      <w:r>
        <w:rPr>
          <w:spacing w:val="-12"/>
        </w:rPr>
        <w:t> </w:t>
      </w:r>
      <w:r>
        <w:rPr/>
        <w:t>the</w:t>
      </w:r>
      <w:r>
        <w:rPr>
          <w:spacing w:val="-12"/>
        </w:rPr>
        <w:t> </w:t>
      </w:r>
      <w:r>
        <w:rPr/>
        <w:t>definition</w:t>
      </w:r>
      <w:r>
        <w:rPr>
          <w:spacing w:val="-12"/>
        </w:rPr>
        <w:t> </w:t>
      </w:r>
      <w:r>
        <w:rPr/>
        <w:t>of</w:t>
      </w:r>
      <w:r>
        <w:rPr>
          <w:spacing w:val="-10"/>
        </w:rPr>
        <w:t> </w:t>
      </w:r>
      <w:r>
        <w:rPr/>
        <w:t>charter</w:t>
      </w:r>
      <w:r>
        <w:rPr>
          <w:spacing w:val="-13"/>
        </w:rPr>
        <w:t> </w:t>
      </w:r>
      <w:r>
        <w:rPr/>
        <w:t>schools</w:t>
      </w:r>
      <w:r>
        <w:rPr>
          <w:spacing w:val="-13"/>
        </w:rPr>
        <w:t> </w:t>
      </w:r>
      <w:r>
        <w:rPr/>
        <w:t>written</w:t>
      </w:r>
      <w:r>
        <w:rPr>
          <w:spacing w:val="-12"/>
        </w:rPr>
        <w:t> </w:t>
      </w:r>
      <w:r>
        <w:rPr/>
        <w:t>into</w:t>
      </w:r>
      <w:r>
        <w:rPr>
          <w:spacing w:val="-14"/>
        </w:rPr>
        <w:t> </w:t>
      </w:r>
      <w:r>
        <w:rPr/>
        <w:t>the</w:t>
      </w:r>
      <w:r>
        <w:rPr>
          <w:spacing w:val="-12"/>
        </w:rPr>
        <w:t> </w:t>
      </w:r>
      <w:r>
        <w:rPr/>
        <w:t>Arizona</w:t>
      </w:r>
      <w:r>
        <w:rPr>
          <w:spacing w:val="-12"/>
        </w:rPr>
        <w:t> </w:t>
      </w:r>
      <w:r>
        <w:rPr/>
        <w:t>Charter School Laws. “They receive public funding similarly to traditional schools. However, they have more freedom over their budgets, staffing, curricula and other</w:t>
      </w:r>
      <w:r>
        <w:rPr>
          <w:spacing w:val="-36"/>
        </w:rPr>
        <w:t> </w:t>
      </w:r>
      <w:r>
        <w:rPr/>
        <w:t>operations.”</w:t>
      </w:r>
    </w:p>
    <w:p>
      <w:pPr>
        <w:pStyle w:val="BodyText"/>
        <w:spacing w:line="276" w:lineRule="auto" w:before="200"/>
        <w:ind w:left="100" w:right="116"/>
        <w:jc w:val="both"/>
      </w:pPr>
      <w:r>
        <w:rPr/>
        <w:t>“In exchange for this freedom, they must deliver academic results and there must be enough community demand for them to remain open.” Numerous reports cite this imperative (Consoletti 2011, Davenport 2013, Hassel 2004, West 2014). They conclude with veiled references to financial misdeeds yet essentially posit recommendations that continue</w:t>
      </w:r>
      <w:r>
        <w:rPr>
          <w:spacing w:val="-11"/>
        </w:rPr>
        <w:t> </w:t>
      </w:r>
      <w:r>
        <w:rPr/>
        <w:t>to</w:t>
      </w:r>
      <w:r>
        <w:rPr>
          <w:spacing w:val="-10"/>
        </w:rPr>
        <w:t> </w:t>
      </w:r>
      <w:r>
        <w:rPr/>
        <w:t>trust</w:t>
      </w:r>
      <w:r>
        <w:rPr>
          <w:spacing w:val="-11"/>
        </w:rPr>
        <w:t> </w:t>
      </w:r>
      <w:r>
        <w:rPr/>
        <w:t>the</w:t>
      </w:r>
      <w:r>
        <w:rPr>
          <w:spacing w:val="-11"/>
        </w:rPr>
        <w:t> </w:t>
      </w:r>
      <w:r>
        <w:rPr/>
        <w:t>“free</w:t>
      </w:r>
      <w:r>
        <w:rPr>
          <w:spacing w:val="-11"/>
        </w:rPr>
        <w:t> </w:t>
      </w:r>
      <w:r>
        <w:rPr/>
        <w:t>market”</w:t>
      </w:r>
      <w:r>
        <w:rPr>
          <w:spacing w:val="-12"/>
        </w:rPr>
        <w:t> </w:t>
      </w:r>
      <w:r>
        <w:rPr/>
        <w:t>to</w:t>
      </w:r>
      <w:r>
        <w:rPr>
          <w:spacing w:val="-10"/>
        </w:rPr>
        <w:t> </w:t>
      </w:r>
      <w:r>
        <w:rPr/>
        <w:t>correct</w:t>
      </w:r>
      <w:r>
        <w:rPr>
          <w:spacing w:val="-11"/>
        </w:rPr>
        <w:t> </w:t>
      </w:r>
      <w:r>
        <w:rPr/>
        <w:t>the</w:t>
      </w:r>
      <w:r>
        <w:rPr>
          <w:spacing w:val="-11"/>
        </w:rPr>
        <w:t> </w:t>
      </w:r>
      <w:r>
        <w:rPr/>
        <w:t>financial</w:t>
      </w:r>
      <w:r>
        <w:rPr>
          <w:spacing w:val="-14"/>
        </w:rPr>
        <w:t> </w:t>
      </w:r>
      <w:r>
        <w:rPr/>
        <w:t>markets.</w:t>
      </w:r>
      <w:r>
        <w:rPr>
          <w:spacing w:val="-11"/>
        </w:rPr>
        <w:t> </w:t>
      </w:r>
      <w:r>
        <w:rPr/>
        <w:t>That</w:t>
      </w:r>
      <w:r>
        <w:rPr>
          <w:spacing w:val="-11"/>
        </w:rPr>
        <w:t> </w:t>
      </w:r>
      <w:r>
        <w:rPr/>
        <w:t>trust</w:t>
      </w:r>
      <w:r>
        <w:rPr>
          <w:spacing w:val="-11"/>
        </w:rPr>
        <w:t> </w:t>
      </w:r>
      <w:r>
        <w:rPr/>
        <w:t>is</w:t>
      </w:r>
      <w:r>
        <w:rPr>
          <w:spacing w:val="-12"/>
        </w:rPr>
        <w:t> </w:t>
      </w:r>
      <w:r>
        <w:rPr/>
        <w:t>misplaced.</w:t>
      </w:r>
    </w:p>
    <w:p>
      <w:pPr>
        <w:spacing w:before="196"/>
        <w:ind w:left="100" w:right="0" w:firstLine="0"/>
        <w:jc w:val="both"/>
        <w:rPr>
          <w:b/>
          <w:sz w:val="22"/>
        </w:rPr>
      </w:pPr>
      <w:bookmarkStart w:name="_bookmark59" w:id="60"/>
      <w:bookmarkEnd w:id="60"/>
      <w:r>
        <w:rPr/>
      </w:r>
      <w:r>
        <w:rPr>
          <w:b/>
          <w:color w:val="4F81BC"/>
          <w:sz w:val="22"/>
        </w:rPr>
        <w:t>Deliver or What?</w:t>
      </w:r>
    </w:p>
    <w:p>
      <w:pPr>
        <w:pStyle w:val="BodyText"/>
        <w:spacing w:line="276" w:lineRule="auto" w:before="39"/>
        <w:ind w:left="100" w:right="110"/>
        <w:jc w:val="both"/>
      </w:pPr>
      <w:r>
        <w:rPr/>
        <w:t>The</w:t>
      </w:r>
      <w:r>
        <w:rPr>
          <w:spacing w:val="-6"/>
        </w:rPr>
        <w:t> </w:t>
      </w:r>
      <w:r>
        <w:rPr/>
        <w:t>action</w:t>
      </w:r>
      <w:r>
        <w:rPr>
          <w:spacing w:val="-4"/>
        </w:rPr>
        <w:t> </w:t>
      </w:r>
      <w:r>
        <w:rPr/>
        <w:t>theory</w:t>
      </w:r>
      <w:r>
        <w:rPr>
          <w:spacing w:val="-7"/>
        </w:rPr>
        <w:t> </w:t>
      </w:r>
      <w:r>
        <w:rPr/>
        <w:t>in</w:t>
      </w:r>
      <w:r>
        <w:rPr>
          <w:spacing w:val="-4"/>
        </w:rPr>
        <w:t> </w:t>
      </w:r>
      <w:r>
        <w:rPr/>
        <w:t>play</w:t>
      </w:r>
      <w:r>
        <w:rPr>
          <w:spacing w:val="-7"/>
        </w:rPr>
        <w:t> </w:t>
      </w:r>
      <w:r>
        <w:rPr/>
        <w:t>is</w:t>
      </w:r>
      <w:r>
        <w:rPr>
          <w:spacing w:val="-5"/>
        </w:rPr>
        <w:t> </w:t>
      </w:r>
      <w:r>
        <w:rPr/>
        <w:t>that</w:t>
      </w:r>
      <w:r>
        <w:rPr>
          <w:spacing w:val="-6"/>
        </w:rPr>
        <w:t> </w:t>
      </w:r>
      <w:r>
        <w:rPr/>
        <w:t>the</w:t>
      </w:r>
      <w:r>
        <w:rPr>
          <w:spacing w:val="-8"/>
        </w:rPr>
        <w:t> </w:t>
      </w:r>
      <w:r>
        <w:rPr/>
        <w:t>financial</w:t>
      </w:r>
      <w:r>
        <w:rPr>
          <w:spacing w:val="-9"/>
        </w:rPr>
        <w:t> </w:t>
      </w:r>
      <w:r>
        <w:rPr/>
        <w:t>and</w:t>
      </w:r>
      <w:r>
        <w:rPr>
          <w:spacing w:val="-6"/>
        </w:rPr>
        <w:t> </w:t>
      </w:r>
      <w:r>
        <w:rPr/>
        <w:t>governance</w:t>
      </w:r>
      <w:r>
        <w:rPr>
          <w:spacing w:val="-8"/>
        </w:rPr>
        <w:t> </w:t>
      </w:r>
      <w:r>
        <w:rPr/>
        <w:t>freedom</w:t>
      </w:r>
      <w:r>
        <w:rPr>
          <w:spacing w:val="-5"/>
        </w:rPr>
        <w:t> </w:t>
      </w:r>
      <w:r>
        <w:rPr/>
        <w:t>will</w:t>
      </w:r>
      <w:r>
        <w:rPr>
          <w:spacing w:val="-5"/>
        </w:rPr>
        <w:t> </w:t>
      </w:r>
      <w:r>
        <w:rPr/>
        <w:t>be</w:t>
      </w:r>
      <w:r>
        <w:rPr>
          <w:spacing w:val="-4"/>
        </w:rPr>
        <w:t> </w:t>
      </w:r>
      <w:r>
        <w:rPr/>
        <w:t>checked</w:t>
      </w:r>
      <w:r>
        <w:rPr>
          <w:spacing w:val="-6"/>
        </w:rPr>
        <w:t> </w:t>
      </w:r>
      <w:r>
        <w:rPr/>
        <w:t>by the “responsibility” to deliver academic results. The theory also implies that if charters don’t deliver this result (academic results) then there will not be “community demand” for them to remain open. The exit theory verbalized by the charter industry is that parents who</w:t>
      </w:r>
      <w:r>
        <w:rPr>
          <w:spacing w:val="-14"/>
        </w:rPr>
        <w:t> </w:t>
      </w:r>
      <w:r>
        <w:rPr/>
        <w:t>have</w:t>
      </w:r>
      <w:r>
        <w:rPr>
          <w:spacing w:val="-14"/>
        </w:rPr>
        <w:t> </w:t>
      </w:r>
      <w:r>
        <w:rPr/>
        <w:t>a</w:t>
      </w:r>
      <w:r>
        <w:rPr>
          <w:spacing w:val="-14"/>
        </w:rPr>
        <w:t> </w:t>
      </w:r>
      <w:r>
        <w:rPr/>
        <w:t>choice</w:t>
      </w:r>
      <w:r>
        <w:rPr>
          <w:spacing w:val="-14"/>
        </w:rPr>
        <w:t> </w:t>
      </w:r>
      <w:r>
        <w:rPr/>
        <w:t>will</w:t>
      </w:r>
      <w:r>
        <w:rPr>
          <w:spacing w:val="-15"/>
        </w:rPr>
        <w:t> </w:t>
      </w:r>
      <w:r>
        <w:rPr/>
        <w:t>leave</w:t>
      </w:r>
      <w:r>
        <w:rPr>
          <w:spacing w:val="-14"/>
        </w:rPr>
        <w:t> </w:t>
      </w:r>
      <w:r>
        <w:rPr/>
        <w:t>poorly</w:t>
      </w:r>
      <w:r>
        <w:rPr>
          <w:spacing w:val="-17"/>
        </w:rPr>
        <w:t> </w:t>
      </w:r>
      <w:r>
        <w:rPr/>
        <w:t>performing</w:t>
      </w:r>
      <w:r>
        <w:rPr>
          <w:spacing w:val="-16"/>
        </w:rPr>
        <w:t> </w:t>
      </w:r>
      <w:r>
        <w:rPr/>
        <w:t>charters</w:t>
      </w:r>
      <w:r>
        <w:rPr>
          <w:spacing w:val="-12"/>
        </w:rPr>
        <w:t> </w:t>
      </w:r>
      <w:r>
        <w:rPr/>
        <w:t>because</w:t>
      </w:r>
      <w:r>
        <w:rPr>
          <w:spacing w:val="-16"/>
        </w:rPr>
        <w:t> </w:t>
      </w:r>
      <w:r>
        <w:rPr/>
        <w:t>of</w:t>
      </w:r>
      <w:r>
        <w:rPr>
          <w:spacing w:val="-15"/>
        </w:rPr>
        <w:t> </w:t>
      </w:r>
      <w:r>
        <w:rPr/>
        <w:t>academics.</w:t>
      </w:r>
      <w:r>
        <w:rPr>
          <w:spacing w:val="-15"/>
        </w:rPr>
        <w:t> </w:t>
      </w:r>
      <w:r>
        <w:rPr/>
        <w:t>Research reports</w:t>
      </w:r>
      <w:r>
        <w:rPr>
          <w:spacing w:val="-7"/>
        </w:rPr>
        <w:t> </w:t>
      </w:r>
      <w:r>
        <w:rPr/>
        <w:t>regarding</w:t>
      </w:r>
      <w:r>
        <w:rPr>
          <w:spacing w:val="-8"/>
        </w:rPr>
        <w:t> </w:t>
      </w:r>
      <w:r>
        <w:rPr/>
        <w:t>this</w:t>
      </w:r>
      <w:r>
        <w:rPr>
          <w:spacing w:val="-7"/>
        </w:rPr>
        <w:t> </w:t>
      </w:r>
      <w:r>
        <w:rPr/>
        <w:t>“exiting”</w:t>
      </w:r>
      <w:r>
        <w:rPr>
          <w:spacing w:val="-5"/>
        </w:rPr>
        <w:t> </w:t>
      </w:r>
      <w:r>
        <w:rPr/>
        <w:t>factor</w:t>
      </w:r>
      <w:r>
        <w:rPr>
          <w:spacing w:val="-8"/>
        </w:rPr>
        <w:t> </w:t>
      </w:r>
      <w:r>
        <w:rPr/>
        <w:t>in</w:t>
      </w:r>
      <w:r>
        <w:rPr>
          <w:spacing w:val="-6"/>
        </w:rPr>
        <w:t> </w:t>
      </w:r>
      <w:r>
        <w:rPr/>
        <w:t>choice</w:t>
      </w:r>
      <w:r>
        <w:rPr>
          <w:spacing w:val="-9"/>
        </w:rPr>
        <w:t> </w:t>
      </w:r>
      <w:r>
        <w:rPr/>
        <w:t>do</w:t>
      </w:r>
      <w:r>
        <w:rPr>
          <w:spacing w:val="-6"/>
        </w:rPr>
        <w:t> </w:t>
      </w:r>
      <w:r>
        <w:rPr/>
        <w:t>not</w:t>
      </w:r>
      <w:r>
        <w:rPr>
          <w:spacing w:val="-9"/>
        </w:rPr>
        <w:t> </w:t>
      </w:r>
      <w:r>
        <w:rPr/>
        <w:t>bear</w:t>
      </w:r>
      <w:r>
        <w:rPr>
          <w:spacing w:val="-8"/>
        </w:rPr>
        <w:t> </w:t>
      </w:r>
      <w:r>
        <w:rPr/>
        <w:t>this</w:t>
      </w:r>
      <w:r>
        <w:rPr>
          <w:spacing w:val="-7"/>
        </w:rPr>
        <w:t> </w:t>
      </w:r>
      <w:r>
        <w:rPr/>
        <w:t>argument</w:t>
      </w:r>
      <w:r>
        <w:rPr>
          <w:spacing w:val="-6"/>
        </w:rPr>
        <w:t> </w:t>
      </w:r>
      <w:r>
        <w:rPr/>
        <w:t>up</w:t>
      </w:r>
      <w:r>
        <w:rPr>
          <w:spacing w:val="-6"/>
        </w:rPr>
        <w:t> </w:t>
      </w:r>
      <w:r>
        <w:rPr/>
        <w:t>(Fuller</w:t>
      </w:r>
      <w:r>
        <w:rPr>
          <w:spacing w:val="-8"/>
        </w:rPr>
        <w:t> </w:t>
      </w:r>
      <w:r>
        <w:rPr/>
        <w:t>1997, Hoxby</w:t>
      </w:r>
      <w:r>
        <w:rPr>
          <w:spacing w:val="-24"/>
        </w:rPr>
        <w:t> </w:t>
      </w:r>
      <w:r>
        <w:rPr/>
        <w:t>2003).</w:t>
      </w:r>
    </w:p>
    <w:p>
      <w:pPr>
        <w:pStyle w:val="BodyText"/>
        <w:spacing w:line="276" w:lineRule="auto" w:before="199"/>
        <w:ind w:left="100" w:right="114"/>
        <w:jc w:val="both"/>
      </w:pPr>
      <w:r>
        <w:rPr/>
        <w:t>This thesis is not supported in the literature looking at why people exit from schools or other entities (Hirschman 1970). The theory of exiting consumers based on academic performance is implicit in the charter scope and purpose, “to provide a learning environment that will improve pupil achievement.” It is also a commonly used response when one makes inquiries about accountability in charters to charter promoters. “We are focusing on academic results first.”</w:t>
      </w:r>
    </w:p>
    <w:p>
      <w:pPr>
        <w:spacing w:after="0" w:line="276" w:lineRule="auto"/>
        <w:jc w:val="both"/>
        <w:sectPr>
          <w:pgSz w:w="12240" w:h="15840"/>
          <w:pgMar w:header="740" w:footer="1002" w:top="940" w:bottom="1200" w:left="1340" w:right="1320"/>
        </w:sectPr>
      </w:pPr>
    </w:p>
    <w:p>
      <w:pPr>
        <w:pStyle w:val="BodyText"/>
        <w:rPr>
          <w:sz w:val="20"/>
        </w:rPr>
      </w:pPr>
    </w:p>
    <w:p>
      <w:pPr>
        <w:pStyle w:val="BodyText"/>
        <w:spacing w:before="2"/>
        <w:rPr>
          <w:sz w:val="21"/>
        </w:rPr>
      </w:pPr>
    </w:p>
    <w:p>
      <w:pPr>
        <w:pStyle w:val="BodyText"/>
        <w:spacing w:line="278" w:lineRule="auto" w:before="1"/>
        <w:ind w:left="120" w:right="114"/>
        <w:jc w:val="both"/>
      </w:pPr>
      <w:r>
        <w:rPr/>
        <w:t>If</w:t>
      </w:r>
      <w:r>
        <w:rPr>
          <w:spacing w:val="-14"/>
        </w:rPr>
        <w:t> </w:t>
      </w:r>
      <w:r>
        <w:rPr/>
        <w:t>the</w:t>
      </w:r>
      <w:r>
        <w:rPr>
          <w:spacing w:val="-14"/>
        </w:rPr>
        <w:t> </w:t>
      </w:r>
      <w:r>
        <w:rPr/>
        <w:t>theory</w:t>
      </w:r>
      <w:r>
        <w:rPr>
          <w:spacing w:val="-18"/>
        </w:rPr>
        <w:t> </w:t>
      </w:r>
      <w:r>
        <w:rPr/>
        <w:t>held</w:t>
      </w:r>
      <w:r>
        <w:rPr>
          <w:spacing w:val="-15"/>
        </w:rPr>
        <w:t> </w:t>
      </w:r>
      <w:r>
        <w:rPr/>
        <w:t>true</w:t>
      </w:r>
      <w:r>
        <w:rPr>
          <w:spacing w:val="-14"/>
        </w:rPr>
        <w:t> </w:t>
      </w:r>
      <w:r>
        <w:rPr/>
        <w:t>wouldn’t</w:t>
      </w:r>
      <w:r>
        <w:rPr>
          <w:spacing w:val="-17"/>
        </w:rPr>
        <w:t> </w:t>
      </w:r>
      <w:r>
        <w:rPr/>
        <w:t>the</w:t>
      </w:r>
      <w:r>
        <w:rPr>
          <w:spacing w:val="-14"/>
        </w:rPr>
        <w:t> </w:t>
      </w:r>
      <w:r>
        <w:rPr/>
        <w:t>33%</w:t>
      </w:r>
      <w:r>
        <w:rPr>
          <w:spacing w:val="-17"/>
        </w:rPr>
        <w:t> </w:t>
      </w:r>
      <w:r>
        <w:rPr/>
        <w:t>of</w:t>
      </w:r>
      <w:r>
        <w:rPr>
          <w:spacing w:val="-12"/>
        </w:rPr>
        <w:t> </w:t>
      </w:r>
      <w:r>
        <w:rPr/>
        <w:t>charters</w:t>
      </w:r>
      <w:r>
        <w:rPr>
          <w:spacing w:val="-16"/>
        </w:rPr>
        <w:t> </w:t>
      </w:r>
      <w:r>
        <w:rPr/>
        <w:t>that</w:t>
      </w:r>
      <w:r>
        <w:rPr>
          <w:spacing w:val="-14"/>
        </w:rPr>
        <w:t> </w:t>
      </w:r>
      <w:r>
        <w:rPr/>
        <w:t>converted</w:t>
      </w:r>
      <w:r>
        <w:rPr>
          <w:spacing w:val="-17"/>
        </w:rPr>
        <w:t> </w:t>
      </w:r>
      <w:r>
        <w:rPr/>
        <w:t>to</w:t>
      </w:r>
      <w:r>
        <w:rPr>
          <w:spacing w:val="-10"/>
        </w:rPr>
        <w:t> </w:t>
      </w:r>
      <w:r>
        <w:rPr>
          <w:i/>
        </w:rPr>
        <w:t>Alternative</w:t>
      </w:r>
      <w:r>
        <w:rPr>
          <w:i/>
          <w:spacing w:val="-16"/>
        </w:rPr>
        <w:t> </w:t>
      </w:r>
      <w:r>
        <w:rPr>
          <w:i/>
        </w:rPr>
        <w:t>Academic </w:t>
      </w:r>
      <w:r>
        <w:rPr>
          <w:i/>
        </w:rPr>
        <w:t>Status</w:t>
      </w:r>
      <w:hyperlink w:history="true" w:anchor="_bookmark61">
        <w:r>
          <w:rPr>
            <w:i/>
            <w:position w:val="7"/>
            <w:sz w:val="16"/>
          </w:rPr>
          <w:t>22 </w:t>
        </w:r>
      </w:hyperlink>
      <w:r>
        <w:rPr/>
        <w:t>in 2012 have experienced massive exiting in that fiscal</w:t>
      </w:r>
      <w:r>
        <w:rPr>
          <w:spacing w:val="-23"/>
        </w:rPr>
        <w:t> </w:t>
      </w:r>
      <w:r>
        <w:rPr/>
        <w:t>year?</w:t>
      </w:r>
    </w:p>
    <w:p>
      <w:pPr>
        <w:spacing w:line="280" w:lineRule="auto" w:before="199"/>
        <w:ind w:left="120" w:right="113" w:firstLine="0"/>
        <w:jc w:val="both"/>
        <w:rPr>
          <w:sz w:val="24"/>
        </w:rPr>
      </w:pPr>
      <w:r>
        <w:rPr>
          <w:sz w:val="24"/>
        </w:rPr>
        <w:t>Parents can and will choose a </w:t>
      </w:r>
      <w:r>
        <w:rPr>
          <w:i/>
          <w:sz w:val="24"/>
        </w:rPr>
        <w:t>charter based on many factors</w:t>
      </w:r>
      <w:r>
        <w:rPr>
          <w:sz w:val="24"/>
        </w:rPr>
        <w:t>. They don’t all choose because of academics.</w:t>
      </w:r>
    </w:p>
    <w:p>
      <w:pPr>
        <w:pStyle w:val="BodyText"/>
        <w:spacing w:line="276" w:lineRule="auto" w:before="196"/>
        <w:ind w:left="120" w:right="118"/>
        <w:jc w:val="both"/>
      </w:pPr>
      <w:r>
        <w:rPr>
          <w:b/>
        </w:rPr>
        <w:t>The</w:t>
      </w:r>
      <w:r>
        <w:rPr>
          <w:b/>
          <w:spacing w:val="-11"/>
        </w:rPr>
        <w:t> </w:t>
      </w:r>
      <w:r>
        <w:rPr>
          <w:b/>
        </w:rPr>
        <w:t>Issue:</w:t>
      </w:r>
      <w:r>
        <w:rPr>
          <w:b/>
          <w:spacing w:val="-9"/>
        </w:rPr>
        <w:t> </w:t>
      </w:r>
      <w:r>
        <w:rPr/>
        <w:t>A</w:t>
      </w:r>
      <w:r>
        <w:rPr>
          <w:spacing w:val="-13"/>
        </w:rPr>
        <w:t> </w:t>
      </w:r>
      <w:r>
        <w:rPr/>
        <w:t>financial</w:t>
      </w:r>
      <w:r>
        <w:rPr>
          <w:spacing w:val="-14"/>
        </w:rPr>
        <w:t> </w:t>
      </w:r>
      <w:r>
        <w:rPr/>
        <w:t>and</w:t>
      </w:r>
      <w:r>
        <w:rPr>
          <w:spacing w:val="-11"/>
        </w:rPr>
        <w:t> </w:t>
      </w:r>
      <w:r>
        <w:rPr/>
        <w:t>governance</w:t>
      </w:r>
      <w:r>
        <w:rPr>
          <w:spacing w:val="-11"/>
        </w:rPr>
        <w:t> </w:t>
      </w:r>
      <w:r>
        <w:rPr/>
        <w:t>ethics</w:t>
      </w:r>
      <w:r>
        <w:rPr>
          <w:spacing w:val="-14"/>
        </w:rPr>
        <w:t> </w:t>
      </w:r>
      <w:r>
        <w:rPr/>
        <w:t>void</w:t>
      </w:r>
      <w:r>
        <w:rPr>
          <w:spacing w:val="-11"/>
        </w:rPr>
        <w:t> </w:t>
      </w:r>
      <w:r>
        <w:rPr/>
        <w:t>is</w:t>
      </w:r>
      <w:r>
        <w:rPr>
          <w:spacing w:val="-12"/>
        </w:rPr>
        <w:t> </w:t>
      </w:r>
      <w:r>
        <w:rPr/>
        <w:t>created</w:t>
      </w:r>
      <w:r>
        <w:rPr>
          <w:spacing w:val="-11"/>
        </w:rPr>
        <w:t> </w:t>
      </w:r>
      <w:r>
        <w:rPr/>
        <w:t>by</w:t>
      </w:r>
      <w:r>
        <w:rPr>
          <w:spacing w:val="-14"/>
        </w:rPr>
        <w:t> </w:t>
      </w:r>
      <w:r>
        <w:rPr/>
        <w:t>the</w:t>
      </w:r>
      <w:r>
        <w:rPr>
          <w:spacing w:val="-11"/>
        </w:rPr>
        <w:t> </w:t>
      </w:r>
      <w:r>
        <w:rPr/>
        <w:t>existing</w:t>
      </w:r>
      <w:r>
        <w:rPr>
          <w:spacing w:val="-10"/>
        </w:rPr>
        <w:t> </w:t>
      </w:r>
      <w:r>
        <w:rPr/>
        <w:t>charter</w:t>
      </w:r>
      <w:r>
        <w:rPr>
          <w:spacing w:val="-12"/>
        </w:rPr>
        <w:t> </w:t>
      </w:r>
      <w:r>
        <w:rPr/>
        <w:t>laws. When a void is created regarding what constitutes ethical practice, situational ethics are all that is left to “guide” the financial and governance practices that</w:t>
      </w:r>
      <w:r>
        <w:rPr>
          <w:spacing w:val="-37"/>
        </w:rPr>
        <w:t> </w:t>
      </w:r>
      <w:r>
        <w:rPr/>
        <w:t>emerge.</w:t>
      </w:r>
    </w:p>
    <w:p>
      <w:pPr>
        <w:pStyle w:val="BodyText"/>
        <w:spacing w:line="276" w:lineRule="auto" w:before="205"/>
        <w:ind w:left="120" w:right="114"/>
        <w:jc w:val="both"/>
      </w:pPr>
      <w:r>
        <w:rPr/>
        <w:t>The result is the financial and governance abuses that are in play at 77% of charter schools studied. The fact is that 90% of charters have applied for and been exempted from</w:t>
      </w:r>
      <w:r>
        <w:rPr>
          <w:spacing w:val="-8"/>
        </w:rPr>
        <w:t> </w:t>
      </w:r>
      <w:r>
        <w:rPr/>
        <w:t>the</w:t>
      </w:r>
      <w:r>
        <w:rPr>
          <w:spacing w:val="-8"/>
        </w:rPr>
        <w:t> </w:t>
      </w:r>
      <w:r>
        <w:rPr/>
        <w:t>bidding</w:t>
      </w:r>
      <w:r>
        <w:rPr>
          <w:spacing w:val="-10"/>
        </w:rPr>
        <w:t> </w:t>
      </w:r>
      <w:r>
        <w:rPr/>
        <w:t>and</w:t>
      </w:r>
      <w:r>
        <w:rPr>
          <w:spacing w:val="-11"/>
        </w:rPr>
        <w:t> </w:t>
      </w:r>
      <w:r>
        <w:rPr/>
        <w:t>purchasing</w:t>
      </w:r>
      <w:r>
        <w:rPr>
          <w:spacing w:val="-10"/>
        </w:rPr>
        <w:t> </w:t>
      </w:r>
      <w:r>
        <w:rPr/>
        <w:t>requirements</w:t>
      </w:r>
      <w:r>
        <w:rPr>
          <w:spacing w:val="-9"/>
        </w:rPr>
        <w:t> </w:t>
      </w:r>
      <w:r>
        <w:rPr/>
        <w:t>that</w:t>
      </w:r>
      <w:r>
        <w:rPr>
          <w:spacing w:val="-9"/>
        </w:rPr>
        <w:t> </w:t>
      </w:r>
      <w:r>
        <w:rPr/>
        <w:t>school</w:t>
      </w:r>
      <w:r>
        <w:rPr>
          <w:spacing w:val="-10"/>
        </w:rPr>
        <w:t> </w:t>
      </w:r>
      <w:r>
        <w:rPr/>
        <w:t>districts</w:t>
      </w:r>
      <w:r>
        <w:rPr>
          <w:spacing w:val="-9"/>
        </w:rPr>
        <w:t> </w:t>
      </w:r>
      <w:r>
        <w:rPr/>
        <w:t>and</w:t>
      </w:r>
      <w:r>
        <w:rPr>
          <w:spacing w:val="-8"/>
        </w:rPr>
        <w:t> </w:t>
      </w:r>
      <w:r>
        <w:rPr/>
        <w:t>school</w:t>
      </w:r>
      <w:r>
        <w:rPr>
          <w:spacing w:val="-10"/>
        </w:rPr>
        <w:t> </w:t>
      </w:r>
      <w:r>
        <w:rPr/>
        <w:t>boards</w:t>
      </w:r>
      <w:r>
        <w:rPr>
          <w:spacing w:val="-9"/>
        </w:rPr>
        <w:t> </w:t>
      </w:r>
      <w:r>
        <w:rPr/>
        <w:t>are subject to is not a surprise. They have asked for (an intentional act) and have been granted that exemption (Consoletti</w:t>
      </w:r>
      <w:r>
        <w:rPr>
          <w:spacing w:val="-17"/>
        </w:rPr>
        <w:t> </w:t>
      </w:r>
      <w:r>
        <w:rPr/>
        <w:t>2011).</w:t>
      </w:r>
    </w:p>
    <w:p>
      <w:pPr>
        <w:pStyle w:val="BodyText"/>
        <w:spacing w:line="276" w:lineRule="auto" w:before="199"/>
        <w:ind w:left="120" w:right="113"/>
        <w:jc w:val="both"/>
      </w:pPr>
      <w:r>
        <w:rPr/>
        <w:t>These</w:t>
      </w:r>
      <w:r>
        <w:rPr>
          <w:spacing w:val="-14"/>
        </w:rPr>
        <w:t> </w:t>
      </w:r>
      <w:r>
        <w:rPr/>
        <w:t>policy</w:t>
      </w:r>
      <w:r>
        <w:rPr>
          <w:spacing w:val="-15"/>
        </w:rPr>
        <w:t> </w:t>
      </w:r>
      <w:r>
        <w:rPr/>
        <w:t>reports</w:t>
      </w:r>
      <w:r>
        <w:rPr>
          <w:spacing w:val="-15"/>
        </w:rPr>
        <w:t> </w:t>
      </w:r>
      <w:r>
        <w:rPr/>
        <w:t>did</w:t>
      </w:r>
      <w:r>
        <w:rPr>
          <w:spacing w:val="-12"/>
        </w:rPr>
        <w:t> </w:t>
      </w:r>
      <w:r>
        <w:rPr/>
        <w:t>not</w:t>
      </w:r>
      <w:r>
        <w:rPr>
          <w:spacing w:val="-12"/>
        </w:rPr>
        <w:t> </w:t>
      </w:r>
      <w:r>
        <w:rPr/>
        <w:t>seek</w:t>
      </w:r>
      <w:r>
        <w:rPr>
          <w:spacing w:val="-13"/>
        </w:rPr>
        <w:t> </w:t>
      </w:r>
      <w:r>
        <w:rPr/>
        <w:t>to</w:t>
      </w:r>
      <w:r>
        <w:rPr>
          <w:spacing w:val="-12"/>
        </w:rPr>
        <w:t> </w:t>
      </w:r>
      <w:r>
        <w:rPr/>
        <w:t>replicate</w:t>
      </w:r>
      <w:r>
        <w:rPr>
          <w:spacing w:val="-16"/>
        </w:rPr>
        <w:t> </w:t>
      </w:r>
      <w:r>
        <w:rPr/>
        <w:t>other</w:t>
      </w:r>
      <w:r>
        <w:rPr>
          <w:spacing w:val="-13"/>
        </w:rPr>
        <w:t> </w:t>
      </w:r>
      <w:r>
        <w:rPr/>
        <w:t>reports</w:t>
      </w:r>
      <w:r>
        <w:rPr>
          <w:spacing w:val="-15"/>
        </w:rPr>
        <w:t> </w:t>
      </w:r>
      <w:r>
        <w:rPr/>
        <w:t>concerning</w:t>
      </w:r>
      <w:r>
        <w:rPr>
          <w:spacing w:val="-14"/>
        </w:rPr>
        <w:t> </w:t>
      </w:r>
      <w:r>
        <w:rPr/>
        <w:t>academic</w:t>
      </w:r>
      <w:r>
        <w:rPr>
          <w:spacing w:val="-13"/>
        </w:rPr>
        <w:t> </w:t>
      </w:r>
      <w:r>
        <w:rPr/>
        <w:t>prowess at charters (Chingos 2014, Consoletti 2011, Hassel 2004, West 2014). However, the academic statistics of the ASBCS speak volumes about the current state of those performances.</w:t>
      </w:r>
    </w:p>
    <w:p>
      <w:pPr>
        <w:spacing w:before="194"/>
        <w:ind w:left="120" w:right="0" w:firstLine="0"/>
        <w:jc w:val="both"/>
        <w:rPr>
          <w:b/>
          <w:sz w:val="22"/>
        </w:rPr>
      </w:pPr>
      <w:bookmarkStart w:name="_bookmark60" w:id="61"/>
      <w:bookmarkEnd w:id="61"/>
      <w:r>
        <w:rPr/>
      </w:r>
      <w:r>
        <w:rPr>
          <w:b/>
          <w:color w:val="4F81BC"/>
          <w:sz w:val="22"/>
        </w:rPr>
        <w:t>Academic Score “Laundering”</w:t>
      </w:r>
    </w:p>
    <w:p>
      <w:pPr>
        <w:spacing w:line="276" w:lineRule="auto" w:before="43"/>
        <w:ind w:left="120" w:right="111" w:firstLine="0"/>
        <w:jc w:val="both"/>
        <w:rPr>
          <w:i/>
          <w:sz w:val="16"/>
        </w:rPr>
      </w:pPr>
      <w:r>
        <w:rPr>
          <w:sz w:val="24"/>
        </w:rPr>
        <w:t>In 2013, prior to the new academic rankings, there were 120 charter schools that converted to Alternative School status. This was in a group of 371 charter schools that went through a financial and academic rating in 2012</w:t>
      </w:r>
      <w:r>
        <w:rPr>
          <w:i/>
          <w:sz w:val="24"/>
        </w:rPr>
        <w:t>. In other words, one-third opted to </w:t>
      </w:r>
      <w:r>
        <w:rPr>
          <w:i/>
          <w:sz w:val="24"/>
        </w:rPr>
        <w:t>lower</w:t>
      </w:r>
      <w:r>
        <w:rPr>
          <w:i/>
          <w:spacing w:val="-12"/>
          <w:sz w:val="24"/>
        </w:rPr>
        <w:t> </w:t>
      </w:r>
      <w:r>
        <w:rPr>
          <w:i/>
          <w:sz w:val="24"/>
        </w:rPr>
        <w:t>their</w:t>
      </w:r>
      <w:r>
        <w:rPr>
          <w:i/>
          <w:spacing w:val="-13"/>
          <w:sz w:val="24"/>
        </w:rPr>
        <w:t> </w:t>
      </w:r>
      <w:r>
        <w:rPr>
          <w:i/>
          <w:sz w:val="24"/>
        </w:rPr>
        <w:t>standards</w:t>
      </w:r>
      <w:r>
        <w:rPr>
          <w:i/>
          <w:spacing w:val="-11"/>
          <w:sz w:val="24"/>
        </w:rPr>
        <w:t> </w:t>
      </w:r>
      <w:r>
        <w:rPr>
          <w:i/>
          <w:sz w:val="24"/>
        </w:rPr>
        <w:t>for</w:t>
      </w:r>
      <w:r>
        <w:rPr>
          <w:i/>
          <w:spacing w:val="-12"/>
          <w:sz w:val="24"/>
        </w:rPr>
        <w:t> </w:t>
      </w:r>
      <w:r>
        <w:rPr>
          <w:i/>
          <w:sz w:val="24"/>
        </w:rPr>
        <w:t>grading</w:t>
      </w:r>
      <w:r>
        <w:rPr>
          <w:i/>
          <w:spacing w:val="-10"/>
          <w:sz w:val="24"/>
        </w:rPr>
        <w:t> </w:t>
      </w:r>
      <w:r>
        <w:rPr>
          <w:i/>
          <w:sz w:val="24"/>
        </w:rPr>
        <w:t>by</w:t>
      </w:r>
      <w:r>
        <w:rPr>
          <w:i/>
          <w:spacing w:val="-12"/>
          <w:sz w:val="24"/>
        </w:rPr>
        <w:t> </w:t>
      </w:r>
      <w:r>
        <w:rPr>
          <w:i/>
          <w:sz w:val="24"/>
        </w:rPr>
        <w:t>the</w:t>
      </w:r>
      <w:r>
        <w:rPr>
          <w:i/>
          <w:spacing w:val="-11"/>
          <w:sz w:val="24"/>
        </w:rPr>
        <w:t> </w:t>
      </w:r>
      <w:r>
        <w:rPr>
          <w:i/>
          <w:sz w:val="24"/>
        </w:rPr>
        <w:t>ASBCS</w:t>
      </w:r>
      <w:r>
        <w:rPr>
          <w:i/>
          <w:spacing w:val="-11"/>
          <w:sz w:val="24"/>
        </w:rPr>
        <w:t> </w:t>
      </w:r>
      <w:r>
        <w:rPr>
          <w:i/>
          <w:sz w:val="24"/>
        </w:rPr>
        <w:t>by</w:t>
      </w:r>
      <w:r>
        <w:rPr>
          <w:i/>
          <w:spacing w:val="-12"/>
          <w:sz w:val="24"/>
        </w:rPr>
        <w:t> </w:t>
      </w:r>
      <w:r>
        <w:rPr>
          <w:i/>
          <w:sz w:val="24"/>
        </w:rPr>
        <w:t>switching</w:t>
      </w:r>
      <w:r>
        <w:rPr>
          <w:i/>
          <w:spacing w:val="-11"/>
          <w:sz w:val="24"/>
        </w:rPr>
        <w:t> </w:t>
      </w:r>
      <w:r>
        <w:rPr>
          <w:i/>
          <w:sz w:val="24"/>
        </w:rPr>
        <w:t>to</w:t>
      </w:r>
      <w:r>
        <w:rPr>
          <w:i/>
          <w:spacing w:val="-10"/>
          <w:sz w:val="24"/>
        </w:rPr>
        <w:t> </w:t>
      </w:r>
      <w:r>
        <w:rPr>
          <w:i/>
          <w:sz w:val="24"/>
        </w:rPr>
        <w:t>alternative</w:t>
      </w:r>
      <w:r>
        <w:rPr>
          <w:i/>
          <w:spacing w:val="-11"/>
          <w:sz w:val="24"/>
        </w:rPr>
        <w:t> </w:t>
      </w:r>
      <w:r>
        <w:rPr>
          <w:i/>
          <w:sz w:val="24"/>
        </w:rPr>
        <w:t>status</w:t>
      </w:r>
      <w:r>
        <w:rPr>
          <w:i/>
          <w:spacing w:val="-12"/>
          <w:sz w:val="24"/>
        </w:rPr>
        <w:t> </w:t>
      </w:r>
      <w:r>
        <w:rPr>
          <w:i/>
          <w:sz w:val="24"/>
        </w:rPr>
        <w:t>in</w:t>
      </w:r>
      <w:r>
        <w:rPr>
          <w:i/>
          <w:spacing w:val="-11"/>
          <w:sz w:val="24"/>
        </w:rPr>
        <w:t> </w:t>
      </w:r>
      <w:r>
        <w:rPr>
          <w:i/>
          <w:sz w:val="24"/>
        </w:rPr>
        <w:t>2013. The</w:t>
      </w:r>
      <w:r>
        <w:rPr>
          <w:i/>
          <w:spacing w:val="-16"/>
          <w:sz w:val="24"/>
        </w:rPr>
        <w:t> </w:t>
      </w:r>
      <w:r>
        <w:rPr>
          <w:i/>
          <w:sz w:val="24"/>
        </w:rPr>
        <w:t>charters</w:t>
      </w:r>
      <w:r>
        <w:rPr>
          <w:i/>
          <w:spacing w:val="-19"/>
          <w:sz w:val="24"/>
        </w:rPr>
        <w:t> </w:t>
      </w:r>
      <w:r>
        <w:rPr>
          <w:i/>
          <w:sz w:val="24"/>
        </w:rPr>
        <w:t>changed</w:t>
      </w:r>
      <w:r>
        <w:rPr>
          <w:i/>
          <w:spacing w:val="-18"/>
          <w:sz w:val="24"/>
        </w:rPr>
        <w:t> </w:t>
      </w:r>
      <w:r>
        <w:rPr>
          <w:i/>
          <w:sz w:val="24"/>
        </w:rPr>
        <w:t>their</w:t>
      </w:r>
      <w:r>
        <w:rPr>
          <w:i/>
          <w:spacing w:val="-18"/>
          <w:sz w:val="24"/>
        </w:rPr>
        <w:t> </w:t>
      </w:r>
      <w:r>
        <w:rPr>
          <w:i/>
          <w:sz w:val="24"/>
        </w:rPr>
        <w:t>status</w:t>
      </w:r>
      <w:r>
        <w:rPr>
          <w:i/>
          <w:spacing w:val="-19"/>
          <w:sz w:val="24"/>
        </w:rPr>
        <w:t> </w:t>
      </w:r>
      <w:r>
        <w:rPr>
          <w:i/>
          <w:sz w:val="24"/>
        </w:rPr>
        <w:t>prior</w:t>
      </w:r>
      <w:r>
        <w:rPr>
          <w:i/>
          <w:spacing w:val="-17"/>
          <w:sz w:val="24"/>
        </w:rPr>
        <w:t> </w:t>
      </w:r>
      <w:r>
        <w:rPr>
          <w:i/>
          <w:sz w:val="24"/>
        </w:rPr>
        <w:t>to</w:t>
      </w:r>
      <w:r>
        <w:rPr>
          <w:i/>
          <w:spacing w:val="-16"/>
          <w:sz w:val="24"/>
        </w:rPr>
        <w:t> </w:t>
      </w:r>
      <w:r>
        <w:rPr>
          <w:i/>
          <w:sz w:val="24"/>
        </w:rPr>
        <w:t>the</w:t>
      </w:r>
      <w:r>
        <w:rPr>
          <w:i/>
          <w:spacing w:val="-18"/>
          <w:sz w:val="24"/>
        </w:rPr>
        <w:t> </w:t>
      </w:r>
      <w:r>
        <w:rPr>
          <w:i/>
          <w:sz w:val="24"/>
        </w:rPr>
        <w:t>fiscal</w:t>
      </w:r>
      <w:r>
        <w:rPr>
          <w:i/>
          <w:spacing w:val="-17"/>
          <w:sz w:val="24"/>
        </w:rPr>
        <w:t> </w:t>
      </w:r>
      <w:r>
        <w:rPr>
          <w:i/>
          <w:sz w:val="24"/>
        </w:rPr>
        <w:t>year</w:t>
      </w:r>
      <w:r>
        <w:rPr>
          <w:i/>
          <w:spacing w:val="-22"/>
          <w:sz w:val="24"/>
        </w:rPr>
        <w:t> </w:t>
      </w:r>
      <w:r>
        <w:rPr>
          <w:i/>
          <w:sz w:val="24"/>
        </w:rPr>
        <w:t>when</w:t>
      </w:r>
      <w:r>
        <w:rPr>
          <w:i/>
          <w:spacing w:val="-16"/>
          <w:sz w:val="24"/>
        </w:rPr>
        <w:t> </w:t>
      </w:r>
      <w:r>
        <w:rPr>
          <w:i/>
          <w:sz w:val="24"/>
        </w:rPr>
        <w:t>the</w:t>
      </w:r>
      <w:r>
        <w:rPr>
          <w:i/>
          <w:spacing w:val="-18"/>
          <w:sz w:val="24"/>
        </w:rPr>
        <w:t> </w:t>
      </w:r>
      <w:r>
        <w:rPr>
          <w:i/>
          <w:sz w:val="24"/>
        </w:rPr>
        <w:t>scores</w:t>
      </w:r>
      <w:r>
        <w:rPr>
          <w:i/>
          <w:spacing w:val="-16"/>
          <w:sz w:val="24"/>
        </w:rPr>
        <w:t> </w:t>
      </w:r>
      <w:r>
        <w:rPr>
          <w:i/>
          <w:sz w:val="24"/>
        </w:rPr>
        <w:t>counted</w:t>
      </w:r>
      <w:r>
        <w:rPr>
          <w:i/>
          <w:spacing w:val="-18"/>
          <w:sz w:val="24"/>
        </w:rPr>
        <w:t> </w:t>
      </w:r>
      <w:r>
        <w:rPr>
          <w:i/>
          <w:sz w:val="24"/>
        </w:rPr>
        <w:t>towards sanctioned</w:t>
      </w:r>
      <w:r>
        <w:rPr>
          <w:i/>
          <w:spacing w:val="-7"/>
          <w:sz w:val="24"/>
        </w:rPr>
        <w:t> </w:t>
      </w:r>
      <w:r>
        <w:rPr>
          <w:i/>
          <w:sz w:val="24"/>
        </w:rPr>
        <w:t>closures</w:t>
      </w:r>
      <w:r>
        <w:rPr>
          <w:i/>
          <w:spacing w:val="-8"/>
          <w:sz w:val="24"/>
        </w:rPr>
        <w:t> </w:t>
      </w:r>
      <w:r>
        <w:rPr>
          <w:i/>
          <w:sz w:val="24"/>
        </w:rPr>
        <w:t>based</w:t>
      </w:r>
      <w:r>
        <w:rPr>
          <w:i/>
          <w:spacing w:val="-5"/>
          <w:sz w:val="24"/>
        </w:rPr>
        <w:t> </w:t>
      </w:r>
      <w:r>
        <w:rPr>
          <w:i/>
          <w:sz w:val="24"/>
        </w:rPr>
        <w:t>on</w:t>
      </w:r>
      <w:r>
        <w:rPr>
          <w:i/>
          <w:spacing w:val="-5"/>
          <w:sz w:val="24"/>
        </w:rPr>
        <w:t> </w:t>
      </w:r>
      <w:r>
        <w:rPr>
          <w:i/>
          <w:sz w:val="24"/>
        </w:rPr>
        <w:t>academic</w:t>
      </w:r>
      <w:r>
        <w:rPr>
          <w:i/>
          <w:spacing w:val="-6"/>
          <w:sz w:val="24"/>
        </w:rPr>
        <w:t> </w:t>
      </w:r>
      <w:r>
        <w:rPr>
          <w:i/>
          <w:sz w:val="24"/>
        </w:rPr>
        <w:t>performance.</w:t>
      </w:r>
      <w:r>
        <w:rPr>
          <w:i/>
          <w:spacing w:val="-5"/>
          <w:sz w:val="24"/>
        </w:rPr>
        <w:t> </w:t>
      </w:r>
      <w:r>
        <w:rPr>
          <w:i/>
          <w:sz w:val="24"/>
        </w:rPr>
        <w:t>Stated</w:t>
      </w:r>
      <w:r>
        <w:rPr>
          <w:i/>
          <w:spacing w:val="-5"/>
          <w:sz w:val="24"/>
        </w:rPr>
        <w:t> </w:t>
      </w:r>
      <w:r>
        <w:rPr>
          <w:i/>
          <w:sz w:val="24"/>
        </w:rPr>
        <w:t>another</w:t>
      </w:r>
      <w:r>
        <w:rPr>
          <w:i/>
          <w:spacing w:val="-6"/>
          <w:sz w:val="24"/>
        </w:rPr>
        <w:t> </w:t>
      </w:r>
      <w:r>
        <w:rPr>
          <w:i/>
          <w:sz w:val="24"/>
        </w:rPr>
        <w:t>way,</w:t>
      </w:r>
      <w:r>
        <w:rPr>
          <w:i/>
          <w:spacing w:val="-7"/>
          <w:sz w:val="24"/>
        </w:rPr>
        <w:t> </w:t>
      </w:r>
      <w:r>
        <w:rPr>
          <w:i/>
          <w:sz w:val="24"/>
        </w:rPr>
        <w:t>hidden</w:t>
      </w:r>
      <w:r>
        <w:rPr>
          <w:i/>
          <w:spacing w:val="-7"/>
          <w:sz w:val="24"/>
        </w:rPr>
        <w:t> </w:t>
      </w:r>
      <w:r>
        <w:rPr>
          <w:i/>
          <w:sz w:val="24"/>
        </w:rPr>
        <w:t>in</w:t>
      </w:r>
      <w:r>
        <w:rPr>
          <w:i/>
          <w:spacing w:val="-5"/>
          <w:sz w:val="24"/>
        </w:rPr>
        <w:t> </w:t>
      </w:r>
      <w:r>
        <w:rPr>
          <w:i/>
          <w:sz w:val="24"/>
        </w:rPr>
        <w:t>the data on charter school academic success is the fact that when the academic standards were</w:t>
      </w:r>
      <w:r>
        <w:rPr>
          <w:i/>
          <w:spacing w:val="-16"/>
          <w:sz w:val="24"/>
        </w:rPr>
        <w:t> </w:t>
      </w:r>
      <w:r>
        <w:rPr>
          <w:i/>
          <w:sz w:val="24"/>
        </w:rPr>
        <w:t>enforced</w:t>
      </w:r>
      <w:r>
        <w:rPr>
          <w:i/>
          <w:spacing w:val="-13"/>
          <w:sz w:val="24"/>
        </w:rPr>
        <w:t> </w:t>
      </w:r>
      <w:r>
        <w:rPr>
          <w:i/>
          <w:sz w:val="24"/>
        </w:rPr>
        <w:t>in</w:t>
      </w:r>
      <w:r>
        <w:rPr>
          <w:i/>
          <w:spacing w:val="-13"/>
          <w:sz w:val="24"/>
        </w:rPr>
        <w:t> </w:t>
      </w:r>
      <w:r>
        <w:rPr>
          <w:i/>
          <w:sz w:val="24"/>
        </w:rPr>
        <w:t>2012</w:t>
      </w:r>
      <w:r>
        <w:rPr>
          <w:i/>
          <w:spacing w:val="-13"/>
          <w:sz w:val="24"/>
        </w:rPr>
        <w:t> </w:t>
      </w:r>
      <w:r>
        <w:rPr>
          <w:i/>
          <w:sz w:val="24"/>
        </w:rPr>
        <w:t>the</w:t>
      </w:r>
      <w:r>
        <w:rPr>
          <w:i/>
          <w:spacing w:val="-13"/>
          <w:sz w:val="24"/>
        </w:rPr>
        <w:t> </w:t>
      </w:r>
      <w:r>
        <w:rPr>
          <w:i/>
          <w:sz w:val="24"/>
        </w:rPr>
        <w:t>category</w:t>
      </w:r>
      <w:r>
        <w:rPr>
          <w:i/>
          <w:spacing w:val="-15"/>
          <w:sz w:val="24"/>
        </w:rPr>
        <w:t> </w:t>
      </w:r>
      <w:r>
        <w:rPr>
          <w:i/>
          <w:sz w:val="24"/>
        </w:rPr>
        <w:t>listings</w:t>
      </w:r>
      <w:r>
        <w:rPr>
          <w:i/>
          <w:spacing w:val="-14"/>
          <w:sz w:val="24"/>
        </w:rPr>
        <w:t> </w:t>
      </w:r>
      <w:r>
        <w:rPr>
          <w:i/>
          <w:sz w:val="24"/>
        </w:rPr>
        <w:t>one-third</w:t>
      </w:r>
      <w:r>
        <w:rPr>
          <w:i/>
          <w:spacing w:val="-13"/>
          <w:sz w:val="24"/>
        </w:rPr>
        <w:t> </w:t>
      </w:r>
      <w:r>
        <w:rPr>
          <w:i/>
          <w:sz w:val="24"/>
        </w:rPr>
        <w:t>of</w:t>
      </w:r>
      <w:r>
        <w:rPr>
          <w:i/>
          <w:spacing w:val="-13"/>
          <w:sz w:val="24"/>
        </w:rPr>
        <w:t> </w:t>
      </w:r>
      <w:r>
        <w:rPr>
          <w:i/>
          <w:sz w:val="24"/>
        </w:rPr>
        <w:t>the</w:t>
      </w:r>
      <w:r>
        <w:rPr>
          <w:i/>
          <w:spacing w:val="-13"/>
          <w:sz w:val="24"/>
        </w:rPr>
        <w:t> </w:t>
      </w:r>
      <w:r>
        <w:rPr>
          <w:i/>
          <w:sz w:val="24"/>
        </w:rPr>
        <w:t>state’s</w:t>
      </w:r>
      <w:r>
        <w:rPr>
          <w:i/>
          <w:spacing w:val="-14"/>
          <w:sz w:val="24"/>
        </w:rPr>
        <w:t> </w:t>
      </w:r>
      <w:r>
        <w:rPr>
          <w:i/>
          <w:sz w:val="24"/>
        </w:rPr>
        <w:t>charters</w:t>
      </w:r>
      <w:r>
        <w:rPr>
          <w:i/>
          <w:spacing w:val="-15"/>
          <w:sz w:val="24"/>
        </w:rPr>
        <w:t> </w:t>
      </w:r>
      <w:r>
        <w:rPr>
          <w:i/>
          <w:sz w:val="24"/>
        </w:rPr>
        <w:t>were</w:t>
      </w:r>
      <w:r>
        <w:rPr>
          <w:i/>
          <w:spacing w:val="-13"/>
          <w:sz w:val="24"/>
        </w:rPr>
        <w:t> </w:t>
      </w:r>
      <w:r>
        <w:rPr>
          <w:i/>
          <w:sz w:val="24"/>
        </w:rPr>
        <w:t>changed to lower tier rating category for 2013. They intentionally lowered their academic</w:t>
      </w:r>
      <w:r>
        <w:rPr>
          <w:i/>
          <w:spacing w:val="-25"/>
          <w:sz w:val="24"/>
        </w:rPr>
        <w:t> </w:t>
      </w:r>
      <w:r>
        <w:rPr>
          <w:i/>
          <w:sz w:val="24"/>
        </w:rPr>
        <w:t>bar.</w:t>
      </w:r>
      <w:hyperlink w:history="true" w:anchor="_bookmark62">
        <w:r>
          <w:rPr>
            <w:i/>
            <w:position w:val="7"/>
            <w:sz w:val="16"/>
          </w:rPr>
          <w:t>23</w:t>
        </w:r>
      </w:hyperlink>
    </w:p>
    <w:p>
      <w:pPr>
        <w:pStyle w:val="BodyText"/>
        <w:spacing w:line="278" w:lineRule="auto" w:before="202"/>
        <w:ind w:left="120" w:right="112"/>
        <w:jc w:val="both"/>
      </w:pPr>
      <w:r>
        <w:rPr/>
        <w:t>Isn’t lowering the academic bar one of the complaints about districts cited by critics of those</w:t>
      </w:r>
      <w:r>
        <w:rPr>
          <w:spacing w:val="-18"/>
        </w:rPr>
        <w:t> </w:t>
      </w:r>
      <w:r>
        <w:rPr/>
        <w:t>districts?</w:t>
      </w:r>
      <w:r>
        <w:rPr>
          <w:spacing w:val="-20"/>
        </w:rPr>
        <w:t> </w:t>
      </w:r>
      <w:r>
        <w:rPr/>
        <w:t>There</w:t>
      </w:r>
      <w:r>
        <w:rPr>
          <w:spacing w:val="-19"/>
        </w:rPr>
        <w:t> </w:t>
      </w:r>
      <w:r>
        <w:rPr/>
        <w:t>was</w:t>
      </w:r>
      <w:r>
        <w:rPr>
          <w:spacing w:val="-16"/>
        </w:rPr>
        <w:t> </w:t>
      </w:r>
      <w:r>
        <w:rPr/>
        <w:t>no</w:t>
      </w:r>
      <w:r>
        <w:rPr>
          <w:spacing w:val="-18"/>
        </w:rPr>
        <w:t> </w:t>
      </w:r>
      <w:r>
        <w:rPr/>
        <w:t>evidence</w:t>
      </w:r>
      <w:r>
        <w:rPr>
          <w:spacing w:val="-18"/>
        </w:rPr>
        <w:t> </w:t>
      </w:r>
      <w:r>
        <w:rPr/>
        <w:t>that</w:t>
      </w:r>
      <w:r>
        <w:rPr>
          <w:spacing w:val="-15"/>
        </w:rPr>
        <w:t> </w:t>
      </w:r>
      <w:r>
        <w:rPr/>
        <w:t>districts</w:t>
      </w:r>
      <w:r>
        <w:rPr>
          <w:spacing w:val="-16"/>
        </w:rPr>
        <w:t> </w:t>
      </w:r>
      <w:r>
        <w:rPr/>
        <w:t>made</w:t>
      </w:r>
      <w:r>
        <w:rPr>
          <w:spacing w:val="-18"/>
        </w:rPr>
        <w:t> </w:t>
      </w:r>
      <w:r>
        <w:rPr/>
        <w:t>these</w:t>
      </w:r>
      <w:r>
        <w:rPr>
          <w:spacing w:val="-18"/>
        </w:rPr>
        <w:t> </w:t>
      </w:r>
      <w:r>
        <w:rPr/>
        <w:t>type</w:t>
      </w:r>
      <w:r>
        <w:rPr>
          <w:spacing w:val="-18"/>
        </w:rPr>
        <w:t> </w:t>
      </w:r>
      <w:r>
        <w:rPr/>
        <w:t>of</w:t>
      </w:r>
      <w:r>
        <w:rPr>
          <w:spacing w:val="-16"/>
        </w:rPr>
        <w:t> </w:t>
      </w:r>
      <w:r>
        <w:rPr/>
        <w:t>category</w:t>
      </w:r>
      <w:r>
        <w:rPr>
          <w:spacing w:val="-19"/>
        </w:rPr>
        <w:t> </w:t>
      </w:r>
      <w:r>
        <w:rPr/>
        <w:t>changes during the time period</w:t>
      </w:r>
      <w:r>
        <w:rPr>
          <w:spacing w:val="-17"/>
        </w:rPr>
        <w:t> </w:t>
      </w:r>
      <w:r>
        <w:rPr/>
        <w:t>reviewed.</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r>
        <w:rPr/>
        <w:pict>
          <v:line style="position:absolute;mso-position-horizontal-relative:page;mso-position-vertical-relative:paragraph;z-index:2416;mso-wrap-distance-left:0;mso-wrap-distance-right:0" from="72pt,12.867653pt" to="216pt,12.867653pt" stroked="true" strokeweight=".72pt" strokecolor="#000000">
            <v:stroke dashstyle="solid"/>
            <w10:wrap type="topAndBottom"/>
          </v:line>
        </w:pict>
      </w:r>
    </w:p>
    <w:p>
      <w:pPr>
        <w:spacing w:before="51"/>
        <w:ind w:left="120" w:right="113" w:firstLine="0"/>
        <w:jc w:val="left"/>
        <w:rPr>
          <w:rFonts w:ascii="Calibri" w:hAnsi="Calibri"/>
          <w:sz w:val="20"/>
        </w:rPr>
      </w:pPr>
      <w:bookmarkStart w:name="_bookmark61" w:id="62"/>
      <w:bookmarkEnd w:id="62"/>
      <w:r>
        <w:rPr/>
      </w:r>
      <w:r>
        <w:rPr>
          <w:rFonts w:ascii="Calibri" w:hAnsi="Calibri"/>
          <w:position w:val="7"/>
          <w:sz w:val="13"/>
        </w:rPr>
        <w:t>22 </w:t>
      </w:r>
      <w:r>
        <w:rPr>
          <w:rFonts w:ascii="Calibri" w:hAnsi="Calibri"/>
          <w:sz w:val="20"/>
        </w:rPr>
        <w:t>The year that academic scores started to count towards charter’s academic rating 33% of charters asked and were granted permission to list themselves as alternative schools. I.e. they would be rated on lower academic standards.</w:t>
      </w:r>
    </w:p>
    <w:p>
      <w:pPr>
        <w:spacing w:line="247" w:lineRule="exact" w:before="0"/>
        <w:ind w:left="120" w:right="0" w:firstLine="0"/>
        <w:jc w:val="both"/>
        <w:rPr>
          <w:rFonts w:ascii="Calibri"/>
          <w:sz w:val="20"/>
        </w:rPr>
      </w:pPr>
      <w:bookmarkStart w:name="_bookmark62" w:id="63"/>
      <w:bookmarkEnd w:id="63"/>
      <w:r>
        <w:rPr/>
      </w:r>
      <w:r>
        <w:rPr>
          <w:rFonts w:ascii="Calibri"/>
          <w:position w:val="7"/>
          <w:sz w:val="13"/>
        </w:rPr>
        <w:t>23 </w:t>
      </w:r>
      <w:r>
        <w:rPr>
          <w:rFonts w:ascii="Calibri"/>
          <w:sz w:val="20"/>
        </w:rPr>
        <w:t>Source: data set generated from ASBCS reports on Academic Performance for 2013 through 2015.</w:t>
      </w:r>
    </w:p>
    <w:p>
      <w:pPr>
        <w:spacing w:after="0" w:line="247" w:lineRule="exact"/>
        <w:jc w:val="both"/>
        <w:rPr>
          <w:rFonts w:ascii="Calibri"/>
          <w:sz w:val="20"/>
        </w:rPr>
        <w:sectPr>
          <w:pgSz w:w="12240" w:h="15840"/>
          <w:pgMar w:header="740" w:footer="1002" w:top="940" w:bottom="1200" w:left="1320" w:right="1320"/>
        </w:sectPr>
      </w:pPr>
    </w:p>
    <w:p>
      <w:pPr>
        <w:pStyle w:val="BodyText"/>
        <w:rPr>
          <w:rFonts w:ascii="Calibri"/>
          <w:sz w:val="20"/>
        </w:rPr>
      </w:pPr>
    </w:p>
    <w:p>
      <w:pPr>
        <w:pStyle w:val="BodyText"/>
        <w:spacing w:before="3"/>
        <w:rPr>
          <w:rFonts w:ascii="Calibri"/>
          <w:sz w:val="19"/>
        </w:rPr>
      </w:pPr>
    </w:p>
    <w:p>
      <w:pPr>
        <w:pStyle w:val="BodyText"/>
        <w:spacing w:after="48"/>
        <w:ind w:left="220"/>
        <w:jc w:val="both"/>
      </w:pPr>
      <w:bookmarkStart w:name="_bookmark63" w:id="64"/>
      <w:bookmarkEnd w:id="64"/>
      <w:r>
        <w:rPr/>
      </w:r>
      <w:r>
        <w:rPr>
          <w:color w:val="4F81BC"/>
        </w:rPr>
        <w:t>Table 7: Academic Grades at Charters for 2013-2014</w:t>
      </w:r>
    </w:p>
    <w:tbl>
      <w:tblPr>
        <w:tblW w:w="0" w:type="auto"/>
        <w:jc w:val="left"/>
        <w:tblInd w:w="10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2060"/>
        <w:gridCol w:w="1712"/>
        <w:gridCol w:w="1800"/>
        <w:gridCol w:w="1800"/>
        <w:gridCol w:w="1981"/>
      </w:tblGrid>
      <w:tr>
        <w:trPr>
          <w:trHeight w:val="300" w:hRule="atLeast"/>
        </w:trPr>
        <w:tc>
          <w:tcPr>
            <w:tcW w:w="2060" w:type="dxa"/>
            <w:tcBorders>
              <w:left w:val="single" w:sz="8" w:space="0" w:color="000000"/>
              <w:bottom w:val="single" w:sz="8" w:space="0" w:color="000000"/>
              <w:right w:val="single" w:sz="8" w:space="0" w:color="000000"/>
            </w:tcBorders>
          </w:tcPr>
          <w:p>
            <w:pPr>
              <w:pStyle w:val="TableParagraph"/>
              <w:spacing w:line="241" w:lineRule="exact" w:before="57"/>
              <w:ind w:left="1"/>
              <w:rPr>
                <w:b/>
                <w:sz w:val="22"/>
              </w:rPr>
            </w:pPr>
            <w:r>
              <w:rPr>
                <w:b/>
                <w:w w:val="100"/>
                <w:sz w:val="22"/>
              </w:rPr>
              <w:t>A</w:t>
            </w:r>
          </w:p>
        </w:tc>
        <w:tc>
          <w:tcPr>
            <w:tcW w:w="1712" w:type="dxa"/>
            <w:tcBorders>
              <w:left w:val="single" w:sz="8" w:space="0" w:color="000000"/>
              <w:right w:val="single" w:sz="8" w:space="0" w:color="000000"/>
            </w:tcBorders>
          </w:tcPr>
          <w:p>
            <w:pPr>
              <w:pStyle w:val="TableParagraph"/>
              <w:spacing w:line="241" w:lineRule="exact" w:before="57"/>
              <w:rPr>
                <w:b/>
                <w:sz w:val="22"/>
              </w:rPr>
            </w:pPr>
            <w:r>
              <w:rPr>
                <w:b/>
                <w:w w:val="100"/>
                <w:sz w:val="22"/>
              </w:rPr>
              <w:t>B</w:t>
            </w:r>
          </w:p>
        </w:tc>
        <w:tc>
          <w:tcPr>
            <w:tcW w:w="1800" w:type="dxa"/>
            <w:tcBorders>
              <w:left w:val="single" w:sz="8" w:space="0" w:color="000000"/>
              <w:right w:val="single" w:sz="8" w:space="0" w:color="000000"/>
            </w:tcBorders>
          </w:tcPr>
          <w:p>
            <w:pPr>
              <w:pStyle w:val="TableParagraph"/>
              <w:spacing w:line="241" w:lineRule="exact" w:before="57"/>
              <w:ind w:left="1"/>
              <w:rPr>
                <w:b/>
                <w:sz w:val="22"/>
              </w:rPr>
            </w:pPr>
            <w:r>
              <w:rPr>
                <w:b/>
                <w:w w:val="100"/>
                <w:sz w:val="22"/>
              </w:rPr>
              <w:t>C</w:t>
            </w:r>
          </w:p>
        </w:tc>
        <w:tc>
          <w:tcPr>
            <w:tcW w:w="1800" w:type="dxa"/>
            <w:tcBorders>
              <w:left w:val="single" w:sz="8" w:space="0" w:color="000000"/>
              <w:right w:val="single" w:sz="8" w:space="0" w:color="000000"/>
            </w:tcBorders>
          </w:tcPr>
          <w:p>
            <w:pPr>
              <w:pStyle w:val="TableParagraph"/>
              <w:spacing w:line="241" w:lineRule="exact" w:before="57"/>
              <w:ind w:left="1"/>
              <w:rPr>
                <w:b/>
                <w:sz w:val="22"/>
              </w:rPr>
            </w:pPr>
            <w:r>
              <w:rPr>
                <w:b/>
                <w:w w:val="100"/>
                <w:sz w:val="22"/>
              </w:rPr>
              <w:t>D</w:t>
            </w:r>
          </w:p>
        </w:tc>
        <w:tc>
          <w:tcPr>
            <w:tcW w:w="1981" w:type="dxa"/>
            <w:tcBorders>
              <w:left w:val="single" w:sz="8" w:space="0" w:color="000000"/>
              <w:right w:val="single" w:sz="8" w:space="0" w:color="000000"/>
            </w:tcBorders>
          </w:tcPr>
          <w:p>
            <w:pPr>
              <w:pStyle w:val="TableParagraph"/>
              <w:spacing w:line="241" w:lineRule="exact" w:before="57"/>
              <w:rPr>
                <w:b/>
                <w:sz w:val="22"/>
              </w:rPr>
            </w:pPr>
            <w:r>
              <w:rPr>
                <w:b/>
                <w:w w:val="100"/>
                <w:sz w:val="22"/>
              </w:rPr>
              <w:t>F</w:t>
            </w:r>
          </w:p>
        </w:tc>
      </w:tr>
      <w:tr>
        <w:trPr>
          <w:trHeight w:val="320" w:hRule="atLeast"/>
        </w:trPr>
        <w:tc>
          <w:tcPr>
            <w:tcW w:w="2060" w:type="dxa"/>
            <w:tcBorders>
              <w:top w:val="single" w:sz="8" w:space="0" w:color="000000"/>
              <w:left w:val="single" w:sz="8" w:space="0" w:color="000000"/>
              <w:bottom w:val="single" w:sz="8" w:space="0" w:color="000000"/>
              <w:right w:val="single" w:sz="8" w:space="0" w:color="000000"/>
            </w:tcBorders>
          </w:tcPr>
          <w:p>
            <w:pPr>
              <w:pStyle w:val="TableParagraph"/>
              <w:spacing w:line="242" w:lineRule="exact" w:before="59"/>
              <w:ind w:left="321" w:right="321"/>
              <w:rPr>
                <w:b/>
                <w:sz w:val="22"/>
              </w:rPr>
            </w:pPr>
            <w:r>
              <w:rPr>
                <w:b/>
                <w:sz w:val="22"/>
              </w:rPr>
              <w:t>32.75%</w:t>
            </w:r>
          </w:p>
        </w:tc>
        <w:tc>
          <w:tcPr>
            <w:tcW w:w="1712" w:type="dxa"/>
            <w:tcBorders>
              <w:left w:val="single" w:sz="8" w:space="0" w:color="000000"/>
              <w:bottom w:val="single" w:sz="8" w:space="0" w:color="000000"/>
              <w:right w:val="single" w:sz="8" w:space="0" w:color="000000"/>
            </w:tcBorders>
          </w:tcPr>
          <w:p>
            <w:pPr>
              <w:pStyle w:val="TableParagraph"/>
              <w:spacing w:line="242" w:lineRule="exact" w:before="59"/>
              <w:ind w:left="145" w:right="146"/>
              <w:rPr>
                <w:b/>
                <w:sz w:val="22"/>
              </w:rPr>
            </w:pPr>
            <w:r>
              <w:rPr>
                <w:b/>
                <w:sz w:val="22"/>
              </w:rPr>
              <w:t>21.18%</w:t>
            </w:r>
          </w:p>
        </w:tc>
        <w:tc>
          <w:tcPr>
            <w:tcW w:w="1800" w:type="dxa"/>
            <w:tcBorders>
              <w:left w:val="single" w:sz="8" w:space="0" w:color="000000"/>
              <w:bottom w:val="single" w:sz="8" w:space="0" w:color="000000"/>
              <w:right w:val="single" w:sz="8" w:space="0" w:color="000000"/>
            </w:tcBorders>
          </w:tcPr>
          <w:p>
            <w:pPr>
              <w:pStyle w:val="TableParagraph"/>
              <w:spacing w:line="242" w:lineRule="exact" w:before="59"/>
              <w:ind w:left="191" w:right="191"/>
              <w:rPr>
                <w:b/>
                <w:sz w:val="22"/>
              </w:rPr>
            </w:pPr>
            <w:r>
              <w:rPr>
                <w:b/>
                <w:sz w:val="22"/>
              </w:rPr>
              <w:t>15.07%</w:t>
            </w:r>
          </w:p>
        </w:tc>
        <w:tc>
          <w:tcPr>
            <w:tcW w:w="1800" w:type="dxa"/>
            <w:tcBorders>
              <w:left w:val="single" w:sz="8" w:space="0" w:color="000000"/>
              <w:bottom w:val="single" w:sz="8" w:space="0" w:color="000000"/>
              <w:right w:val="single" w:sz="8" w:space="0" w:color="000000"/>
            </w:tcBorders>
          </w:tcPr>
          <w:p>
            <w:pPr>
              <w:pStyle w:val="TableParagraph"/>
              <w:spacing w:line="242" w:lineRule="exact" w:before="59"/>
              <w:ind w:left="191" w:right="189"/>
              <w:rPr>
                <w:b/>
                <w:sz w:val="22"/>
              </w:rPr>
            </w:pPr>
            <w:r>
              <w:rPr>
                <w:b/>
                <w:sz w:val="22"/>
              </w:rPr>
              <w:t>4.80%</w:t>
            </w:r>
          </w:p>
        </w:tc>
        <w:tc>
          <w:tcPr>
            <w:tcW w:w="1981" w:type="dxa"/>
            <w:tcBorders>
              <w:left w:val="single" w:sz="8" w:space="0" w:color="000000"/>
              <w:bottom w:val="single" w:sz="8" w:space="0" w:color="000000"/>
              <w:right w:val="single" w:sz="8" w:space="0" w:color="000000"/>
            </w:tcBorders>
          </w:tcPr>
          <w:p>
            <w:pPr>
              <w:pStyle w:val="TableParagraph"/>
              <w:spacing w:line="242" w:lineRule="exact" w:before="59"/>
              <w:ind w:left="647" w:right="648"/>
              <w:rPr>
                <w:b/>
                <w:sz w:val="22"/>
              </w:rPr>
            </w:pPr>
            <w:r>
              <w:rPr>
                <w:b/>
                <w:sz w:val="22"/>
              </w:rPr>
              <w:t>1.53%</w:t>
            </w:r>
          </w:p>
        </w:tc>
      </w:tr>
      <w:tr>
        <w:trPr>
          <w:trHeight w:val="300" w:hRule="atLeast"/>
        </w:trPr>
        <w:tc>
          <w:tcPr>
            <w:tcW w:w="206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4" w:lineRule="exact" w:before="56"/>
              <w:ind w:left="321" w:right="321"/>
              <w:rPr>
                <w:b/>
                <w:sz w:val="22"/>
              </w:rPr>
            </w:pPr>
            <w:r>
              <w:rPr>
                <w:b/>
                <w:sz w:val="22"/>
              </w:rPr>
              <w:t>Alternative A</w:t>
            </w:r>
          </w:p>
        </w:tc>
        <w:tc>
          <w:tcPr>
            <w:tcW w:w="1712"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4" w:lineRule="exact" w:before="56"/>
              <w:ind w:left="145" w:right="148"/>
              <w:rPr>
                <w:b/>
                <w:sz w:val="22"/>
              </w:rPr>
            </w:pPr>
            <w:r>
              <w:rPr>
                <w:b/>
                <w:sz w:val="22"/>
              </w:rPr>
              <w:t>Alternative B</w:t>
            </w:r>
          </w:p>
        </w:tc>
        <w:tc>
          <w:tcPr>
            <w:tcW w:w="180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4" w:lineRule="exact" w:before="56"/>
              <w:ind w:left="191" w:right="191"/>
              <w:rPr>
                <w:b/>
                <w:sz w:val="22"/>
              </w:rPr>
            </w:pPr>
            <w:r>
              <w:rPr>
                <w:b/>
                <w:sz w:val="22"/>
              </w:rPr>
              <w:t>Alternative C</w:t>
            </w:r>
          </w:p>
        </w:tc>
        <w:tc>
          <w:tcPr>
            <w:tcW w:w="180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4" w:lineRule="exact" w:before="56"/>
              <w:ind w:left="191" w:right="191"/>
              <w:rPr>
                <w:b/>
                <w:sz w:val="22"/>
              </w:rPr>
            </w:pPr>
            <w:r>
              <w:rPr>
                <w:b/>
                <w:sz w:val="22"/>
              </w:rPr>
              <w:t>Alternative D</w:t>
            </w:r>
          </w:p>
        </w:tc>
        <w:tc>
          <w:tcPr>
            <w:tcW w:w="1981"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4" w:lineRule="exact" w:before="56"/>
              <w:rPr>
                <w:b/>
                <w:sz w:val="22"/>
              </w:rPr>
            </w:pPr>
            <w:r>
              <w:rPr>
                <w:b/>
                <w:w w:val="100"/>
                <w:sz w:val="22"/>
              </w:rPr>
              <w:t>F</w:t>
            </w:r>
          </w:p>
        </w:tc>
      </w:tr>
      <w:tr>
        <w:trPr>
          <w:trHeight w:val="320" w:hRule="atLeast"/>
        </w:trPr>
        <w:tc>
          <w:tcPr>
            <w:tcW w:w="206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6" w:lineRule="exact" w:before="55"/>
              <w:ind w:left="321" w:right="319"/>
              <w:rPr>
                <w:b/>
                <w:sz w:val="22"/>
              </w:rPr>
            </w:pPr>
            <w:r>
              <w:rPr>
                <w:b/>
                <w:sz w:val="22"/>
              </w:rPr>
              <w:t>1.97%</w:t>
            </w:r>
          </w:p>
        </w:tc>
        <w:tc>
          <w:tcPr>
            <w:tcW w:w="1712"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6" w:lineRule="exact" w:before="55"/>
              <w:ind w:left="145" w:right="146"/>
              <w:rPr>
                <w:b/>
                <w:sz w:val="22"/>
              </w:rPr>
            </w:pPr>
            <w:r>
              <w:rPr>
                <w:b/>
                <w:sz w:val="22"/>
              </w:rPr>
              <w:t>8.08%</w:t>
            </w:r>
          </w:p>
        </w:tc>
        <w:tc>
          <w:tcPr>
            <w:tcW w:w="180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6" w:lineRule="exact" w:before="55"/>
              <w:ind w:left="191" w:right="191"/>
              <w:rPr>
                <w:b/>
                <w:sz w:val="22"/>
              </w:rPr>
            </w:pPr>
            <w:r>
              <w:rPr>
                <w:b/>
                <w:sz w:val="22"/>
              </w:rPr>
              <w:t>11.79%</w:t>
            </w:r>
          </w:p>
        </w:tc>
        <w:tc>
          <w:tcPr>
            <w:tcW w:w="1800"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6" w:lineRule="exact" w:before="55"/>
              <w:ind w:left="191" w:right="189"/>
              <w:rPr>
                <w:b/>
                <w:sz w:val="22"/>
              </w:rPr>
            </w:pPr>
            <w:r>
              <w:rPr>
                <w:b/>
                <w:sz w:val="22"/>
              </w:rPr>
              <w:t>2.84%</w:t>
            </w:r>
          </w:p>
        </w:tc>
        <w:tc>
          <w:tcPr>
            <w:tcW w:w="1981" w:type="dxa"/>
            <w:tcBorders>
              <w:top w:val="single" w:sz="8" w:space="0" w:color="000000"/>
              <w:left w:val="single" w:sz="8" w:space="0" w:color="000000"/>
              <w:bottom w:val="single" w:sz="8" w:space="0" w:color="000000"/>
              <w:right w:val="single" w:sz="8" w:space="0" w:color="000000"/>
            </w:tcBorders>
            <w:shd w:val="clear" w:color="auto" w:fill="FAD3B4"/>
          </w:tcPr>
          <w:p>
            <w:pPr>
              <w:pStyle w:val="TableParagraph"/>
              <w:spacing w:line="246" w:lineRule="exact" w:before="55"/>
              <w:ind w:left="647" w:right="648"/>
              <w:rPr>
                <w:b/>
                <w:sz w:val="22"/>
              </w:rPr>
            </w:pPr>
            <w:r>
              <w:rPr>
                <w:b/>
                <w:sz w:val="22"/>
              </w:rPr>
              <w:t>0.00%</w:t>
            </w:r>
          </w:p>
        </w:tc>
      </w:tr>
    </w:tbl>
    <w:p>
      <w:pPr>
        <w:spacing w:before="189"/>
        <w:ind w:left="220" w:right="0" w:firstLine="0"/>
        <w:jc w:val="both"/>
        <w:rPr>
          <w:b/>
          <w:sz w:val="22"/>
        </w:rPr>
      </w:pPr>
      <w:bookmarkStart w:name="_bookmark64" w:id="65"/>
      <w:bookmarkEnd w:id="65"/>
      <w:r>
        <w:rPr/>
      </w:r>
      <w:r>
        <w:rPr>
          <w:b/>
          <w:color w:val="4F81BC"/>
          <w:sz w:val="22"/>
        </w:rPr>
        <w:t>Grades for Charter Schools in Arizona for Year Ending 2014</w:t>
      </w:r>
    </w:p>
    <w:p>
      <w:pPr>
        <w:pStyle w:val="BodyText"/>
        <w:spacing w:line="278" w:lineRule="auto" w:before="42"/>
        <w:ind w:left="220" w:right="119"/>
        <w:jc w:val="both"/>
      </w:pPr>
      <w:r>
        <w:rPr/>
        <w:t>The</w:t>
      </w:r>
      <w:r>
        <w:rPr>
          <w:spacing w:val="-13"/>
        </w:rPr>
        <w:t> </w:t>
      </w:r>
      <w:r>
        <w:rPr/>
        <w:t>total</w:t>
      </w:r>
      <w:r>
        <w:rPr>
          <w:spacing w:val="-13"/>
        </w:rPr>
        <w:t> </w:t>
      </w:r>
      <w:r>
        <w:rPr/>
        <w:t>number</w:t>
      </w:r>
      <w:r>
        <w:rPr>
          <w:spacing w:val="-15"/>
        </w:rPr>
        <w:t> </w:t>
      </w:r>
      <w:r>
        <w:rPr/>
        <w:t>of</w:t>
      </w:r>
      <w:r>
        <w:rPr>
          <w:spacing w:val="-12"/>
        </w:rPr>
        <w:t> </w:t>
      </w:r>
      <w:r>
        <w:rPr/>
        <w:t>grades</w:t>
      </w:r>
      <w:r>
        <w:rPr>
          <w:spacing w:val="-14"/>
        </w:rPr>
        <w:t> </w:t>
      </w:r>
      <w:r>
        <w:rPr/>
        <w:t>assigned</w:t>
      </w:r>
      <w:r>
        <w:rPr>
          <w:spacing w:val="-13"/>
        </w:rPr>
        <w:t> </w:t>
      </w:r>
      <w:r>
        <w:rPr/>
        <w:t>by</w:t>
      </w:r>
      <w:r>
        <w:rPr>
          <w:spacing w:val="-14"/>
        </w:rPr>
        <w:t> </w:t>
      </w:r>
      <w:r>
        <w:rPr/>
        <w:t>the</w:t>
      </w:r>
      <w:r>
        <w:rPr>
          <w:spacing w:val="-13"/>
        </w:rPr>
        <w:t> </w:t>
      </w:r>
      <w:r>
        <w:rPr/>
        <w:t>Arizona</w:t>
      </w:r>
      <w:r>
        <w:rPr>
          <w:spacing w:val="-12"/>
        </w:rPr>
        <w:t> </w:t>
      </w:r>
      <w:r>
        <w:rPr/>
        <w:t>State</w:t>
      </w:r>
      <w:r>
        <w:rPr>
          <w:spacing w:val="-13"/>
        </w:rPr>
        <w:t> </w:t>
      </w:r>
      <w:r>
        <w:rPr/>
        <w:t>Board</w:t>
      </w:r>
      <w:r>
        <w:rPr>
          <w:spacing w:val="-16"/>
        </w:rPr>
        <w:t> </w:t>
      </w:r>
      <w:r>
        <w:rPr/>
        <w:t>for</w:t>
      </w:r>
      <w:r>
        <w:rPr>
          <w:spacing w:val="-15"/>
        </w:rPr>
        <w:t> </w:t>
      </w:r>
      <w:r>
        <w:rPr/>
        <w:t>Charters</w:t>
      </w:r>
      <w:r>
        <w:rPr>
          <w:spacing w:val="-13"/>
        </w:rPr>
        <w:t> </w:t>
      </w:r>
      <w:r>
        <w:rPr/>
        <w:t>in</w:t>
      </w:r>
      <w:r>
        <w:rPr>
          <w:spacing w:val="-13"/>
        </w:rPr>
        <w:t> </w:t>
      </w:r>
      <w:r>
        <w:rPr/>
        <w:t>2014</w:t>
      </w:r>
      <w:r>
        <w:rPr>
          <w:spacing w:val="-13"/>
        </w:rPr>
        <w:t> </w:t>
      </w:r>
      <w:r>
        <w:rPr/>
        <w:t>was 458.</w:t>
      </w:r>
    </w:p>
    <w:p>
      <w:pPr>
        <w:spacing w:line="276" w:lineRule="auto" w:before="200"/>
        <w:ind w:left="218" w:right="113" w:firstLine="0"/>
        <w:jc w:val="both"/>
        <w:rPr>
          <w:sz w:val="24"/>
        </w:rPr>
      </w:pPr>
      <w:r>
        <w:rPr>
          <w:sz w:val="24"/>
        </w:rPr>
        <w:t>The</w:t>
      </w:r>
      <w:r>
        <w:rPr>
          <w:spacing w:val="-4"/>
          <w:sz w:val="24"/>
        </w:rPr>
        <w:t> </w:t>
      </w:r>
      <w:r>
        <w:rPr>
          <w:sz w:val="24"/>
        </w:rPr>
        <w:t>percentage</w:t>
      </w:r>
      <w:r>
        <w:rPr>
          <w:spacing w:val="-6"/>
          <w:sz w:val="24"/>
        </w:rPr>
        <w:t> </w:t>
      </w:r>
      <w:r>
        <w:rPr>
          <w:sz w:val="24"/>
        </w:rPr>
        <w:t>of</w:t>
      </w:r>
      <w:r>
        <w:rPr>
          <w:spacing w:val="-3"/>
          <w:sz w:val="24"/>
        </w:rPr>
        <w:t> </w:t>
      </w:r>
      <w:r>
        <w:rPr>
          <w:sz w:val="24"/>
        </w:rPr>
        <w:t>Alternative</w:t>
      </w:r>
      <w:r>
        <w:rPr>
          <w:spacing w:val="-4"/>
          <w:sz w:val="24"/>
        </w:rPr>
        <w:t> </w:t>
      </w:r>
      <w:r>
        <w:rPr>
          <w:sz w:val="24"/>
        </w:rPr>
        <w:t>Schools</w:t>
      </w:r>
      <w:r>
        <w:rPr>
          <w:spacing w:val="-5"/>
          <w:sz w:val="24"/>
        </w:rPr>
        <w:t> </w:t>
      </w:r>
      <w:r>
        <w:rPr>
          <w:sz w:val="24"/>
        </w:rPr>
        <w:t>in</w:t>
      </w:r>
      <w:r>
        <w:rPr>
          <w:spacing w:val="-4"/>
          <w:sz w:val="24"/>
        </w:rPr>
        <w:t> </w:t>
      </w:r>
      <w:r>
        <w:rPr>
          <w:sz w:val="24"/>
        </w:rPr>
        <w:t>the</w:t>
      </w:r>
      <w:r>
        <w:rPr>
          <w:spacing w:val="-6"/>
          <w:sz w:val="24"/>
        </w:rPr>
        <w:t> </w:t>
      </w:r>
      <w:r>
        <w:rPr>
          <w:sz w:val="24"/>
        </w:rPr>
        <w:t>chart</w:t>
      </w:r>
      <w:r>
        <w:rPr>
          <w:spacing w:val="-5"/>
          <w:sz w:val="24"/>
        </w:rPr>
        <w:t> </w:t>
      </w:r>
      <w:r>
        <w:rPr>
          <w:sz w:val="24"/>
        </w:rPr>
        <w:t>mix</w:t>
      </w:r>
      <w:r>
        <w:rPr>
          <w:spacing w:val="-7"/>
          <w:sz w:val="24"/>
        </w:rPr>
        <w:t> </w:t>
      </w:r>
      <w:r>
        <w:rPr>
          <w:sz w:val="24"/>
        </w:rPr>
        <w:t>was</w:t>
      </w:r>
      <w:r>
        <w:rPr>
          <w:spacing w:val="-4"/>
          <w:sz w:val="24"/>
        </w:rPr>
        <w:t> </w:t>
      </w:r>
      <w:r>
        <w:rPr>
          <w:sz w:val="24"/>
        </w:rPr>
        <w:t>26.2%.</w:t>
      </w:r>
      <w:r>
        <w:rPr>
          <w:spacing w:val="-6"/>
          <w:sz w:val="24"/>
        </w:rPr>
        <w:t> </w:t>
      </w:r>
      <w:r>
        <w:rPr>
          <w:sz w:val="24"/>
        </w:rPr>
        <w:t>The</w:t>
      </w:r>
      <w:r>
        <w:rPr>
          <w:spacing w:val="-6"/>
          <w:sz w:val="24"/>
        </w:rPr>
        <w:t> </w:t>
      </w:r>
      <w:r>
        <w:rPr>
          <w:sz w:val="24"/>
        </w:rPr>
        <w:t>Table</w:t>
      </w:r>
      <w:r>
        <w:rPr>
          <w:spacing w:val="-4"/>
          <w:sz w:val="24"/>
        </w:rPr>
        <w:t> </w:t>
      </w:r>
      <w:r>
        <w:rPr>
          <w:sz w:val="24"/>
        </w:rPr>
        <w:t>above</w:t>
      </w:r>
      <w:r>
        <w:rPr>
          <w:spacing w:val="-4"/>
          <w:sz w:val="24"/>
        </w:rPr>
        <w:t> </w:t>
      </w:r>
      <w:r>
        <w:rPr>
          <w:sz w:val="24"/>
        </w:rPr>
        <w:t>has only</w:t>
      </w:r>
      <w:r>
        <w:rPr>
          <w:spacing w:val="-15"/>
          <w:sz w:val="24"/>
        </w:rPr>
        <w:t> </w:t>
      </w:r>
      <w:r>
        <w:rPr>
          <w:sz w:val="24"/>
        </w:rPr>
        <w:t>24.7%</w:t>
      </w:r>
      <w:r>
        <w:rPr>
          <w:spacing w:val="-15"/>
          <w:sz w:val="24"/>
        </w:rPr>
        <w:t> </w:t>
      </w:r>
      <w:r>
        <w:rPr>
          <w:sz w:val="24"/>
        </w:rPr>
        <w:t>as</w:t>
      </w:r>
      <w:r>
        <w:rPr>
          <w:spacing w:val="-13"/>
          <w:sz w:val="24"/>
        </w:rPr>
        <w:t> </w:t>
      </w:r>
      <w:r>
        <w:rPr>
          <w:sz w:val="24"/>
        </w:rPr>
        <w:t>alternative</w:t>
      </w:r>
      <w:r>
        <w:rPr>
          <w:spacing w:val="-12"/>
          <w:sz w:val="24"/>
        </w:rPr>
        <w:t> </w:t>
      </w:r>
      <w:r>
        <w:rPr>
          <w:sz w:val="24"/>
        </w:rPr>
        <w:t>because</w:t>
      </w:r>
      <w:r>
        <w:rPr>
          <w:spacing w:val="-12"/>
          <w:sz w:val="24"/>
        </w:rPr>
        <w:t> </w:t>
      </w:r>
      <w:r>
        <w:rPr>
          <w:sz w:val="24"/>
        </w:rPr>
        <w:t>seven</w:t>
      </w:r>
      <w:r>
        <w:rPr>
          <w:spacing w:val="-12"/>
          <w:sz w:val="24"/>
        </w:rPr>
        <w:t> </w:t>
      </w:r>
      <w:r>
        <w:rPr>
          <w:sz w:val="24"/>
        </w:rPr>
        <w:t>of</w:t>
      </w:r>
      <w:r>
        <w:rPr>
          <w:spacing w:val="-12"/>
          <w:sz w:val="24"/>
        </w:rPr>
        <w:t> </w:t>
      </w:r>
      <w:r>
        <w:rPr>
          <w:sz w:val="24"/>
        </w:rPr>
        <w:t>the</w:t>
      </w:r>
      <w:r>
        <w:rPr>
          <w:spacing w:val="-12"/>
          <w:sz w:val="24"/>
        </w:rPr>
        <w:t> </w:t>
      </w:r>
      <w:r>
        <w:rPr>
          <w:sz w:val="24"/>
        </w:rPr>
        <w:t>120</w:t>
      </w:r>
      <w:r>
        <w:rPr>
          <w:spacing w:val="-12"/>
          <w:sz w:val="24"/>
        </w:rPr>
        <w:t> </w:t>
      </w:r>
      <w:r>
        <w:rPr>
          <w:sz w:val="24"/>
        </w:rPr>
        <w:t>identified</w:t>
      </w:r>
      <w:r>
        <w:rPr>
          <w:spacing w:val="-14"/>
          <w:sz w:val="24"/>
        </w:rPr>
        <w:t> </w:t>
      </w:r>
      <w:r>
        <w:rPr>
          <w:sz w:val="24"/>
        </w:rPr>
        <w:t>as</w:t>
      </w:r>
      <w:r>
        <w:rPr>
          <w:spacing w:val="-13"/>
          <w:sz w:val="24"/>
        </w:rPr>
        <w:t> </w:t>
      </w:r>
      <w:r>
        <w:rPr>
          <w:sz w:val="24"/>
        </w:rPr>
        <w:t>alternative</w:t>
      </w:r>
      <w:r>
        <w:rPr>
          <w:spacing w:val="-12"/>
          <w:sz w:val="24"/>
        </w:rPr>
        <w:t> </w:t>
      </w:r>
      <w:r>
        <w:rPr>
          <w:sz w:val="24"/>
        </w:rPr>
        <w:t>schools</w:t>
      </w:r>
      <w:r>
        <w:rPr>
          <w:spacing w:val="-13"/>
          <w:sz w:val="24"/>
        </w:rPr>
        <w:t> </w:t>
      </w:r>
      <w:r>
        <w:rPr>
          <w:sz w:val="24"/>
        </w:rPr>
        <w:t>were not given grades; </w:t>
      </w:r>
      <w:r>
        <w:rPr>
          <w:i/>
          <w:sz w:val="24"/>
        </w:rPr>
        <w:t>small schools were not rated</w:t>
      </w:r>
      <w:r>
        <w:rPr>
          <w:sz w:val="24"/>
        </w:rPr>
        <w:t>. Alternative schools were more likely to have</w:t>
      </w:r>
      <w:r>
        <w:rPr>
          <w:spacing w:val="-14"/>
          <w:sz w:val="24"/>
        </w:rPr>
        <w:t> </w:t>
      </w:r>
      <w:r>
        <w:rPr>
          <w:sz w:val="24"/>
        </w:rPr>
        <w:t>no</w:t>
      </w:r>
      <w:r>
        <w:rPr>
          <w:spacing w:val="-14"/>
          <w:sz w:val="24"/>
        </w:rPr>
        <w:t> </w:t>
      </w:r>
      <w:r>
        <w:rPr>
          <w:sz w:val="24"/>
        </w:rPr>
        <w:t>score</w:t>
      </w:r>
      <w:r>
        <w:rPr>
          <w:spacing w:val="-15"/>
          <w:sz w:val="24"/>
        </w:rPr>
        <w:t> </w:t>
      </w:r>
      <w:r>
        <w:rPr>
          <w:sz w:val="24"/>
        </w:rPr>
        <w:t>(a</w:t>
      </w:r>
      <w:r>
        <w:rPr>
          <w:spacing w:val="-14"/>
          <w:sz w:val="24"/>
        </w:rPr>
        <w:t> </w:t>
      </w:r>
      <w:r>
        <w:rPr>
          <w:sz w:val="24"/>
        </w:rPr>
        <w:t>blank)</w:t>
      </w:r>
      <w:r>
        <w:rPr>
          <w:spacing w:val="-15"/>
          <w:sz w:val="24"/>
        </w:rPr>
        <w:t> </w:t>
      </w:r>
      <w:r>
        <w:rPr>
          <w:sz w:val="24"/>
        </w:rPr>
        <w:t>recorded</w:t>
      </w:r>
      <w:r>
        <w:rPr>
          <w:spacing w:val="-14"/>
          <w:sz w:val="24"/>
        </w:rPr>
        <w:t> </w:t>
      </w:r>
      <w:r>
        <w:rPr>
          <w:sz w:val="24"/>
        </w:rPr>
        <w:t>in</w:t>
      </w:r>
      <w:r>
        <w:rPr>
          <w:spacing w:val="-14"/>
          <w:sz w:val="24"/>
        </w:rPr>
        <w:t> </w:t>
      </w:r>
      <w:r>
        <w:rPr>
          <w:sz w:val="24"/>
        </w:rPr>
        <w:t>the</w:t>
      </w:r>
      <w:r>
        <w:rPr>
          <w:spacing w:val="-14"/>
          <w:sz w:val="24"/>
        </w:rPr>
        <w:t> </w:t>
      </w:r>
      <w:r>
        <w:rPr>
          <w:sz w:val="24"/>
        </w:rPr>
        <w:t>graduation</w:t>
      </w:r>
      <w:r>
        <w:rPr>
          <w:spacing w:val="-14"/>
          <w:sz w:val="24"/>
        </w:rPr>
        <w:t> </w:t>
      </w:r>
      <w:r>
        <w:rPr>
          <w:sz w:val="24"/>
        </w:rPr>
        <w:t>rate</w:t>
      </w:r>
      <w:r>
        <w:rPr>
          <w:spacing w:val="-14"/>
          <w:sz w:val="24"/>
        </w:rPr>
        <w:t> </w:t>
      </w:r>
      <w:r>
        <w:rPr>
          <w:sz w:val="24"/>
        </w:rPr>
        <w:t>area</w:t>
      </w:r>
      <w:r>
        <w:rPr>
          <w:spacing w:val="-14"/>
          <w:sz w:val="24"/>
        </w:rPr>
        <w:t> </w:t>
      </w:r>
      <w:r>
        <w:rPr>
          <w:sz w:val="24"/>
        </w:rPr>
        <w:t>of</w:t>
      </w:r>
      <w:r>
        <w:rPr>
          <w:spacing w:val="-15"/>
          <w:sz w:val="24"/>
        </w:rPr>
        <w:t> </w:t>
      </w:r>
      <w:r>
        <w:rPr>
          <w:sz w:val="24"/>
        </w:rPr>
        <w:t>the</w:t>
      </w:r>
      <w:r>
        <w:rPr>
          <w:spacing w:val="-16"/>
          <w:sz w:val="24"/>
        </w:rPr>
        <w:t> </w:t>
      </w:r>
      <w:r>
        <w:rPr>
          <w:sz w:val="24"/>
        </w:rPr>
        <w:t>academic</w:t>
      </w:r>
      <w:r>
        <w:rPr>
          <w:spacing w:val="-15"/>
          <w:sz w:val="24"/>
        </w:rPr>
        <w:t> </w:t>
      </w:r>
      <w:r>
        <w:rPr>
          <w:sz w:val="24"/>
        </w:rPr>
        <w:t>ratings.</w:t>
      </w:r>
      <w:r>
        <w:rPr>
          <w:spacing w:val="-6"/>
          <w:sz w:val="24"/>
        </w:rPr>
        <w:t> </w:t>
      </w:r>
      <w:r>
        <w:rPr>
          <w:i/>
          <w:sz w:val="24"/>
        </w:rPr>
        <w:t>This </w:t>
      </w:r>
      <w:r>
        <w:rPr>
          <w:i/>
          <w:sz w:val="24"/>
        </w:rPr>
        <w:t>lack</w:t>
      </w:r>
      <w:r>
        <w:rPr>
          <w:i/>
          <w:spacing w:val="-3"/>
          <w:sz w:val="24"/>
        </w:rPr>
        <w:t> </w:t>
      </w:r>
      <w:r>
        <w:rPr>
          <w:i/>
          <w:sz w:val="24"/>
        </w:rPr>
        <w:t>of</w:t>
      </w:r>
      <w:r>
        <w:rPr>
          <w:i/>
          <w:spacing w:val="-3"/>
          <w:sz w:val="24"/>
        </w:rPr>
        <w:t> </w:t>
      </w:r>
      <w:r>
        <w:rPr>
          <w:i/>
          <w:sz w:val="24"/>
        </w:rPr>
        <w:t>scoring</w:t>
      </w:r>
      <w:r>
        <w:rPr>
          <w:i/>
          <w:spacing w:val="-3"/>
          <w:sz w:val="24"/>
        </w:rPr>
        <w:t> </w:t>
      </w:r>
      <w:r>
        <w:rPr>
          <w:i/>
          <w:sz w:val="24"/>
        </w:rPr>
        <w:t>on</w:t>
      </w:r>
      <w:r>
        <w:rPr>
          <w:i/>
          <w:spacing w:val="-3"/>
          <w:sz w:val="24"/>
        </w:rPr>
        <w:t> </w:t>
      </w:r>
      <w:r>
        <w:rPr>
          <w:i/>
          <w:sz w:val="24"/>
        </w:rPr>
        <w:t>graduation</w:t>
      </w:r>
      <w:r>
        <w:rPr>
          <w:i/>
          <w:spacing w:val="-3"/>
          <w:sz w:val="24"/>
        </w:rPr>
        <w:t> </w:t>
      </w:r>
      <w:r>
        <w:rPr>
          <w:i/>
          <w:sz w:val="24"/>
        </w:rPr>
        <w:t>rates</w:t>
      </w:r>
      <w:r>
        <w:rPr>
          <w:i/>
          <w:spacing w:val="-5"/>
          <w:sz w:val="24"/>
        </w:rPr>
        <w:t> </w:t>
      </w:r>
      <w:r>
        <w:rPr>
          <w:i/>
          <w:sz w:val="24"/>
        </w:rPr>
        <w:t>was</w:t>
      </w:r>
      <w:r>
        <w:rPr>
          <w:i/>
          <w:spacing w:val="-3"/>
          <w:sz w:val="24"/>
        </w:rPr>
        <w:t> </w:t>
      </w:r>
      <w:r>
        <w:rPr>
          <w:i/>
          <w:sz w:val="24"/>
        </w:rPr>
        <w:t>especially</w:t>
      </w:r>
      <w:r>
        <w:rPr>
          <w:i/>
          <w:spacing w:val="-3"/>
          <w:sz w:val="24"/>
        </w:rPr>
        <w:t> </w:t>
      </w:r>
      <w:r>
        <w:rPr>
          <w:i/>
          <w:sz w:val="24"/>
        </w:rPr>
        <w:t>true</w:t>
      </w:r>
      <w:r>
        <w:rPr>
          <w:i/>
          <w:spacing w:val="-3"/>
          <w:sz w:val="24"/>
        </w:rPr>
        <w:t> </w:t>
      </w:r>
      <w:r>
        <w:rPr>
          <w:i/>
          <w:sz w:val="24"/>
        </w:rPr>
        <w:t>for</w:t>
      </w:r>
      <w:r>
        <w:rPr>
          <w:i/>
          <w:spacing w:val="-5"/>
          <w:sz w:val="24"/>
        </w:rPr>
        <w:t> </w:t>
      </w:r>
      <w:r>
        <w:rPr>
          <w:i/>
          <w:sz w:val="24"/>
        </w:rPr>
        <w:t>online</w:t>
      </w:r>
      <w:r>
        <w:rPr>
          <w:i/>
          <w:spacing w:val="-39"/>
          <w:sz w:val="24"/>
        </w:rPr>
        <w:t> </w:t>
      </w:r>
      <w:r>
        <w:rPr>
          <w:i/>
          <w:sz w:val="24"/>
        </w:rPr>
        <w:t>charters</w:t>
      </w:r>
      <w:r>
        <w:rPr>
          <w:sz w:val="24"/>
        </w:rPr>
        <w:t>.</w:t>
      </w:r>
    </w:p>
    <w:p>
      <w:pPr>
        <w:spacing w:line="271" w:lineRule="auto" w:before="204"/>
        <w:ind w:left="218" w:right="114" w:firstLine="0"/>
        <w:jc w:val="both"/>
        <w:rPr>
          <w:i/>
          <w:sz w:val="24"/>
        </w:rPr>
      </w:pPr>
      <w:r>
        <w:rPr>
          <w:sz w:val="24"/>
        </w:rPr>
        <w:t>Several charters with physical sites only go up to grade 11. This move allows them to sidestep the graduation cohort counts. Graduation counts affect the scores in Table 6. That is, </w:t>
      </w:r>
      <w:r>
        <w:rPr>
          <w:i/>
          <w:sz w:val="24"/>
        </w:rPr>
        <w:t>if </w:t>
      </w:r>
      <w:r>
        <w:rPr>
          <w:sz w:val="24"/>
        </w:rPr>
        <w:t>you have 12</w:t>
      </w:r>
      <w:r>
        <w:rPr>
          <w:position w:val="8"/>
          <w:sz w:val="16"/>
        </w:rPr>
        <w:t>th </w:t>
      </w:r>
      <w:r>
        <w:rPr>
          <w:sz w:val="24"/>
        </w:rPr>
        <w:t>grade. </w:t>
      </w:r>
      <w:r>
        <w:rPr>
          <w:i/>
          <w:sz w:val="24"/>
        </w:rPr>
        <w:t>Are we really allowing this to count for “Charter</w:t>
      </w:r>
      <w:r>
        <w:rPr>
          <w:i/>
          <w:spacing w:val="-39"/>
          <w:sz w:val="24"/>
        </w:rPr>
        <w:t> </w:t>
      </w:r>
      <w:r>
        <w:rPr>
          <w:i/>
          <w:sz w:val="24"/>
        </w:rPr>
        <w:t>Academic </w:t>
      </w:r>
      <w:r>
        <w:rPr>
          <w:i/>
          <w:sz w:val="24"/>
        </w:rPr>
        <w:t>Performance?</w:t>
      </w:r>
      <w:hyperlink w:history="true" w:anchor="_bookmark66">
        <w:r>
          <w:rPr>
            <w:i/>
            <w:position w:val="7"/>
            <w:sz w:val="16"/>
          </w:rPr>
          <w:t>24</w:t>
        </w:r>
      </w:hyperlink>
      <w:r>
        <w:rPr>
          <w:i/>
          <w:sz w:val="24"/>
        </w:rPr>
        <w:t>”</w:t>
      </w:r>
    </w:p>
    <w:p>
      <w:pPr>
        <w:pStyle w:val="BodyText"/>
        <w:spacing w:line="276" w:lineRule="auto" w:before="212"/>
        <w:ind w:left="220" w:right="113"/>
        <w:jc w:val="both"/>
      </w:pPr>
      <w:r>
        <w:rPr>
          <w:b/>
          <w:i/>
        </w:rPr>
        <w:t>What do academic scores have to do with finances and governance? </w:t>
      </w:r>
      <w:r>
        <w:rPr/>
        <w:t>The set of charters that are underperforming academically and the set of charters that are not meeting financial performance standards are not congruent sets. The connection between the two is tentative at best. Parents are not necessarily “choosing” based on academic prowess (Fuller 1997, Witte 1999).</w:t>
      </w:r>
    </w:p>
    <w:p>
      <w:pPr>
        <w:spacing w:before="194"/>
        <w:ind w:left="220" w:right="0" w:firstLine="0"/>
        <w:jc w:val="both"/>
        <w:rPr>
          <w:b/>
          <w:sz w:val="22"/>
        </w:rPr>
      </w:pPr>
      <w:bookmarkStart w:name="_bookmark65" w:id="66"/>
      <w:bookmarkEnd w:id="66"/>
      <w:r>
        <w:rPr/>
      </w:r>
      <w:r>
        <w:rPr>
          <w:b/>
          <w:color w:val="4F81BC"/>
          <w:sz w:val="22"/>
        </w:rPr>
        <w:t>Impartial Academic Assessments</w:t>
      </w:r>
    </w:p>
    <w:p>
      <w:pPr>
        <w:pStyle w:val="BodyText"/>
        <w:spacing w:line="276" w:lineRule="auto" w:before="42"/>
        <w:ind w:left="220" w:right="111"/>
        <w:jc w:val="both"/>
      </w:pPr>
      <w:r>
        <w:rPr/>
        <w:t>Two recent comprehensive studies have used student data to evaluate the performance of Arizona’s charter schools. The Center for Research on Educational Outcomes (CREDO) at Stanford University has done nationwide analyses by state to evaluate charter performance relative to public district schools, overall, in urban areas and for online schools (Raymond 2013). At the behest of the Goldwater Institute, the leading advocate of school choice in Arizona, the Brookings Institution also evaluated Arizona’s charter</w:t>
      </w:r>
      <w:r>
        <w:rPr>
          <w:spacing w:val="-11"/>
        </w:rPr>
        <w:t> </w:t>
      </w:r>
      <w:r>
        <w:rPr/>
        <w:t>schools.</w:t>
      </w:r>
      <w:r>
        <w:rPr>
          <w:spacing w:val="-10"/>
        </w:rPr>
        <w:t> </w:t>
      </w:r>
      <w:r>
        <w:rPr/>
        <w:t>Both</w:t>
      </w:r>
      <w:r>
        <w:rPr>
          <w:spacing w:val="-9"/>
        </w:rPr>
        <w:t> </w:t>
      </w:r>
      <w:r>
        <w:rPr/>
        <w:t>studies</w:t>
      </w:r>
      <w:r>
        <w:rPr>
          <w:spacing w:val="-12"/>
        </w:rPr>
        <w:t> </w:t>
      </w:r>
      <w:r>
        <w:rPr/>
        <w:t>found</w:t>
      </w:r>
      <w:r>
        <w:rPr>
          <w:spacing w:val="-9"/>
        </w:rPr>
        <w:t> </w:t>
      </w:r>
      <w:r>
        <w:rPr/>
        <w:t>Arizona’s</w:t>
      </w:r>
      <w:r>
        <w:rPr>
          <w:spacing w:val="-11"/>
        </w:rPr>
        <w:t> </w:t>
      </w:r>
      <w:r>
        <w:rPr/>
        <w:t>charter</w:t>
      </w:r>
      <w:r>
        <w:rPr>
          <w:spacing w:val="-11"/>
        </w:rPr>
        <w:t> </w:t>
      </w:r>
      <w:r>
        <w:rPr/>
        <w:t>schools</w:t>
      </w:r>
      <w:r>
        <w:rPr>
          <w:spacing w:val="-6"/>
        </w:rPr>
        <w:t> </w:t>
      </w:r>
      <w:r>
        <w:rPr/>
        <w:t>underperforming</w:t>
      </w:r>
      <w:r>
        <w:rPr>
          <w:spacing w:val="-11"/>
        </w:rPr>
        <w:t> </w:t>
      </w:r>
      <w:r>
        <w:rPr/>
        <w:t>relative</w:t>
      </w:r>
      <w:r>
        <w:rPr>
          <w:spacing w:val="-9"/>
        </w:rPr>
        <w:t> </w:t>
      </w:r>
      <w:r>
        <w:rPr/>
        <w:t>to similar students in public district</w:t>
      </w:r>
      <w:r>
        <w:rPr>
          <w:spacing w:val="-29"/>
        </w:rPr>
        <w:t> </w:t>
      </w:r>
      <w:r>
        <w:rPr/>
        <w:t>schools.</w:t>
      </w:r>
    </w:p>
    <w:p>
      <w:pPr>
        <w:pStyle w:val="BodyText"/>
        <w:spacing w:line="276" w:lineRule="auto" w:before="200"/>
        <w:ind w:left="220" w:right="112"/>
        <w:jc w:val="both"/>
      </w:pPr>
      <w:r>
        <w:rPr/>
        <w:t>The CREDO study partnered with 27 state departments of education and uses both student and school level data. It captures student-level demographics and achievement test</w:t>
      </w:r>
      <w:r>
        <w:rPr>
          <w:spacing w:val="-18"/>
        </w:rPr>
        <w:t> </w:t>
      </w:r>
      <w:r>
        <w:rPr/>
        <w:t>scores</w:t>
      </w:r>
      <w:r>
        <w:rPr>
          <w:spacing w:val="-19"/>
        </w:rPr>
        <w:t> </w:t>
      </w:r>
      <w:r>
        <w:rPr/>
        <w:t>in</w:t>
      </w:r>
      <w:r>
        <w:rPr>
          <w:spacing w:val="-18"/>
        </w:rPr>
        <w:t> </w:t>
      </w:r>
      <w:r>
        <w:rPr/>
        <w:t>reading</w:t>
      </w:r>
      <w:r>
        <w:rPr>
          <w:spacing w:val="-20"/>
        </w:rPr>
        <w:t> </w:t>
      </w:r>
      <w:r>
        <w:rPr/>
        <w:t>and</w:t>
      </w:r>
      <w:r>
        <w:rPr>
          <w:spacing w:val="-18"/>
        </w:rPr>
        <w:t> </w:t>
      </w:r>
      <w:r>
        <w:rPr/>
        <w:t>math—and</w:t>
      </w:r>
      <w:r>
        <w:rPr>
          <w:spacing w:val="-20"/>
        </w:rPr>
        <w:t> </w:t>
      </w:r>
      <w:r>
        <w:rPr/>
        <w:t>due</w:t>
      </w:r>
      <w:r>
        <w:rPr>
          <w:spacing w:val="-20"/>
        </w:rPr>
        <w:t> </w:t>
      </w:r>
      <w:r>
        <w:rPr/>
        <w:t>to</w:t>
      </w:r>
      <w:r>
        <w:rPr>
          <w:spacing w:val="-18"/>
        </w:rPr>
        <w:t> </w:t>
      </w:r>
      <w:r>
        <w:rPr/>
        <w:t>the</w:t>
      </w:r>
      <w:r>
        <w:rPr>
          <w:spacing w:val="-18"/>
        </w:rPr>
        <w:t> </w:t>
      </w:r>
      <w:r>
        <w:rPr/>
        <w:t>structure</w:t>
      </w:r>
      <w:r>
        <w:rPr>
          <w:spacing w:val="-21"/>
        </w:rPr>
        <w:t> </w:t>
      </w:r>
      <w:r>
        <w:rPr/>
        <w:t>of</w:t>
      </w:r>
      <w:r>
        <w:rPr>
          <w:spacing w:val="-16"/>
        </w:rPr>
        <w:t> </w:t>
      </w:r>
      <w:r>
        <w:rPr/>
        <w:t>No</w:t>
      </w:r>
      <w:r>
        <w:rPr>
          <w:spacing w:val="-18"/>
        </w:rPr>
        <w:t> </w:t>
      </w:r>
      <w:r>
        <w:rPr/>
        <w:t>Child</w:t>
      </w:r>
      <w:r>
        <w:rPr>
          <w:spacing w:val="-21"/>
        </w:rPr>
        <w:t> </w:t>
      </w:r>
      <w:r>
        <w:rPr/>
        <w:t>Left</w:t>
      </w:r>
      <w:r>
        <w:rPr>
          <w:spacing w:val="-18"/>
        </w:rPr>
        <w:t> </w:t>
      </w:r>
      <w:r>
        <w:rPr/>
        <w:t>Behind’s</w:t>
      </w:r>
      <w:r>
        <w:rPr>
          <w:spacing w:val="-19"/>
        </w:rPr>
        <w:t> </w:t>
      </w:r>
      <w:r>
        <w:rPr/>
        <w:t>testing regime has most consistent data for grades 3-8; in Arizona this data is</w:t>
      </w:r>
      <w:r>
        <w:rPr>
          <w:spacing w:val="-29"/>
        </w:rPr>
        <w:t> </w:t>
      </w:r>
      <w:r>
        <w:rPr/>
        <w:t>available</w:t>
      </w:r>
    </w:p>
    <w:p>
      <w:pPr>
        <w:pStyle w:val="BodyText"/>
        <w:spacing w:before="9"/>
        <w:rPr>
          <w:sz w:val="11"/>
        </w:rPr>
      </w:pPr>
      <w:r>
        <w:rPr/>
        <w:pict>
          <v:line style="position:absolute;mso-position-horizontal-relative:page;mso-position-vertical-relative:paragraph;z-index:2440;mso-wrap-distance-left:0;mso-wrap-distance-right:0" from="72pt,9.126145pt" to="216pt,9.126145pt" stroked="true" strokeweight=".72pt" strokecolor="#000000">
            <v:stroke dashstyle="solid"/>
            <w10:wrap type="topAndBottom"/>
          </v:line>
        </w:pict>
      </w:r>
    </w:p>
    <w:p>
      <w:pPr>
        <w:spacing w:before="41"/>
        <w:ind w:left="220" w:right="0" w:firstLine="0"/>
        <w:jc w:val="both"/>
        <w:rPr>
          <w:rFonts w:ascii="Calibri"/>
          <w:sz w:val="20"/>
        </w:rPr>
      </w:pPr>
      <w:bookmarkStart w:name="_bookmark66" w:id="67"/>
      <w:bookmarkEnd w:id="67"/>
      <w:r>
        <w:rPr/>
      </w:r>
      <w:r>
        <w:rPr>
          <w:rFonts w:ascii="Calibri"/>
          <w:position w:val="7"/>
          <w:sz w:val="13"/>
        </w:rPr>
        <w:t>24 </w:t>
      </w:r>
      <w:r>
        <w:rPr>
          <w:rFonts w:ascii="Calibri"/>
          <w:sz w:val="20"/>
        </w:rPr>
        <w:t>To their credit the ASBCS has closed schools because of academic underperformance.</w:t>
      </w:r>
    </w:p>
    <w:p>
      <w:pPr>
        <w:spacing w:after="0"/>
        <w:jc w:val="both"/>
        <w:rPr>
          <w:rFonts w:ascii="Calibri"/>
          <w:sz w:val="20"/>
        </w:rPr>
        <w:sectPr>
          <w:pgSz w:w="12240" w:h="15840"/>
          <w:pgMar w:header="740" w:footer="1002" w:top="940" w:bottom="1200" w:left="1220" w:right="1320"/>
        </w:sectPr>
      </w:pPr>
    </w:p>
    <w:p>
      <w:pPr>
        <w:pStyle w:val="BodyText"/>
        <w:rPr>
          <w:rFonts w:ascii="Calibri"/>
          <w:sz w:val="20"/>
        </w:rPr>
      </w:pPr>
    </w:p>
    <w:p>
      <w:pPr>
        <w:pStyle w:val="BodyText"/>
        <w:spacing w:before="5"/>
        <w:rPr>
          <w:rFonts w:ascii="Calibri"/>
          <w:sz w:val="19"/>
        </w:rPr>
      </w:pPr>
    </w:p>
    <w:p>
      <w:pPr>
        <w:pStyle w:val="BodyText"/>
        <w:spacing w:line="276" w:lineRule="auto"/>
        <w:ind w:left="100" w:right="110"/>
        <w:jc w:val="both"/>
      </w:pPr>
      <w:r>
        <w:rPr/>
        <w:t>for</w:t>
      </w:r>
      <w:r>
        <w:rPr>
          <w:spacing w:val="-13"/>
        </w:rPr>
        <w:t> </w:t>
      </w:r>
      <w:r>
        <w:rPr/>
        <w:t>grades</w:t>
      </w:r>
      <w:r>
        <w:rPr>
          <w:spacing w:val="-13"/>
        </w:rPr>
        <w:t> </w:t>
      </w:r>
      <w:r>
        <w:rPr/>
        <w:t>3-8</w:t>
      </w:r>
      <w:r>
        <w:rPr>
          <w:spacing w:val="-12"/>
        </w:rPr>
        <w:t> </w:t>
      </w:r>
      <w:r>
        <w:rPr/>
        <w:t>and</w:t>
      </w:r>
      <w:r>
        <w:rPr>
          <w:spacing w:val="-12"/>
        </w:rPr>
        <w:t> </w:t>
      </w:r>
      <w:r>
        <w:rPr/>
        <w:t>grade</w:t>
      </w:r>
      <w:r>
        <w:rPr>
          <w:spacing w:val="-12"/>
        </w:rPr>
        <w:t> </w:t>
      </w:r>
      <w:r>
        <w:rPr/>
        <w:t>10.</w:t>
      </w:r>
      <w:r>
        <w:rPr>
          <w:spacing w:val="-12"/>
        </w:rPr>
        <w:t> </w:t>
      </w:r>
      <w:r>
        <w:rPr/>
        <w:t>For</w:t>
      </w:r>
      <w:r>
        <w:rPr>
          <w:spacing w:val="-13"/>
        </w:rPr>
        <w:t> </w:t>
      </w:r>
      <w:r>
        <w:rPr/>
        <w:t>each</w:t>
      </w:r>
      <w:r>
        <w:rPr>
          <w:spacing w:val="-12"/>
        </w:rPr>
        <w:t> </w:t>
      </w:r>
      <w:r>
        <w:rPr/>
        <w:t>two-year</w:t>
      </w:r>
      <w:r>
        <w:rPr>
          <w:spacing w:val="-13"/>
        </w:rPr>
        <w:t> </w:t>
      </w:r>
      <w:r>
        <w:rPr/>
        <w:t>combination,</w:t>
      </w:r>
      <w:r>
        <w:rPr>
          <w:spacing w:val="-12"/>
        </w:rPr>
        <w:t> </w:t>
      </w:r>
      <w:r>
        <w:rPr/>
        <w:t>CREDO</w:t>
      </w:r>
      <w:r>
        <w:rPr>
          <w:spacing w:val="-12"/>
        </w:rPr>
        <w:t> </w:t>
      </w:r>
      <w:r>
        <w:rPr/>
        <w:t>focuses</w:t>
      </w:r>
      <w:r>
        <w:rPr>
          <w:spacing w:val="-13"/>
        </w:rPr>
        <w:t> </w:t>
      </w:r>
      <w:r>
        <w:rPr/>
        <w:t>on</w:t>
      </w:r>
      <w:r>
        <w:rPr>
          <w:spacing w:val="-12"/>
        </w:rPr>
        <w:t> </w:t>
      </w:r>
      <w:r>
        <w:rPr/>
        <w:t>student growth in their test scores. For Arizona growth data was available from 2006- 2007 through</w:t>
      </w:r>
      <w:r>
        <w:rPr>
          <w:spacing w:val="-7"/>
        </w:rPr>
        <w:t> </w:t>
      </w:r>
      <w:r>
        <w:rPr/>
        <w:t>2010-2011.</w:t>
      </w:r>
    </w:p>
    <w:p>
      <w:pPr>
        <w:pStyle w:val="BodyText"/>
        <w:spacing w:line="276" w:lineRule="auto" w:before="201"/>
        <w:ind w:left="100" w:right="111"/>
        <w:jc w:val="both"/>
      </w:pPr>
      <w:r>
        <w:rPr/>
        <w:t>The primary challenge in evaluating educational outcomes is finding an appropriate comparison group. You can’t compare how a student does in a charter school with how she would have performed if she stayed at her neighborhood public district school. CREDO’s</w:t>
      </w:r>
      <w:r>
        <w:rPr>
          <w:spacing w:val="-16"/>
        </w:rPr>
        <w:t> </w:t>
      </w:r>
      <w:r>
        <w:rPr/>
        <w:t>means</w:t>
      </w:r>
      <w:r>
        <w:rPr>
          <w:spacing w:val="-17"/>
        </w:rPr>
        <w:t> </w:t>
      </w:r>
      <w:r>
        <w:rPr/>
        <w:t>of</w:t>
      </w:r>
      <w:r>
        <w:rPr>
          <w:spacing w:val="-17"/>
        </w:rPr>
        <w:t> </w:t>
      </w:r>
      <w:r>
        <w:rPr/>
        <w:t>overcoming</w:t>
      </w:r>
      <w:r>
        <w:rPr>
          <w:spacing w:val="-18"/>
        </w:rPr>
        <w:t> </w:t>
      </w:r>
      <w:r>
        <w:rPr/>
        <w:t>this</w:t>
      </w:r>
      <w:r>
        <w:rPr>
          <w:spacing w:val="-16"/>
        </w:rPr>
        <w:t> </w:t>
      </w:r>
      <w:r>
        <w:rPr/>
        <w:t>challenge</w:t>
      </w:r>
      <w:r>
        <w:rPr>
          <w:spacing w:val="-14"/>
        </w:rPr>
        <w:t> </w:t>
      </w:r>
      <w:r>
        <w:rPr/>
        <w:t>is</w:t>
      </w:r>
      <w:r>
        <w:rPr>
          <w:spacing w:val="-18"/>
        </w:rPr>
        <w:t> </w:t>
      </w:r>
      <w:r>
        <w:rPr/>
        <w:t>to</w:t>
      </w:r>
      <w:r>
        <w:rPr>
          <w:spacing w:val="-16"/>
        </w:rPr>
        <w:t> </w:t>
      </w:r>
      <w:r>
        <w:rPr/>
        <w:t>create</w:t>
      </w:r>
      <w:r>
        <w:rPr>
          <w:spacing w:val="-16"/>
        </w:rPr>
        <w:t> </w:t>
      </w:r>
      <w:r>
        <w:rPr/>
        <w:t>a</w:t>
      </w:r>
      <w:r>
        <w:rPr>
          <w:spacing w:val="-16"/>
        </w:rPr>
        <w:t> </w:t>
      </w:r>
      <w:r>
        <w:rPr/>
        <w:t>Virtual</w:t>
      </w:r>
      <w:r>
        <w:rPr>
          <w:spacing w:val="-16"/>
        </w:rPr>
        <w:t> </w:t>
      </w:r>
      <w:r>
        <w:rPr/>
        <w:t>Control</w:t>
      </w:r>
      <w:r>
        <w:rPr>
          <w:spacing w:val="-15"/>
        </w:rPr>
        <w:t> </w:t>
      </w:r>
      <w:r>
        <w:rPr/>
        <w:t>Record</w:t>
      </w:r>
      <w:r>
        <w:rPr>
          <w:spacing w:val="-17"/>
        </w:rPr>
        <w:t> </w:t>
      </w:r>
      <w:r>
        <w:rPr/>
        <w:t>(VCR) that creates a “virtual twin” of each charter school student by identifying students with identical traits and very similar prior test scores in nearby public district schools. Traits included grade level, gender, race/ethnicity, free or reduced lunch eligibility, English Language Learner status, Special Education Status, and prior test scores on state achievement</w:t>
      </w:r>
      <w:r>
        <w:rPr>
          <w:spacing w:val="-6"/>
        </w:rPr>
        <w:t> </w:t>
      </w:r>
      <w:r>
        <w:rPr/>
        <w:t>tests.</w:t>
      </w:r>
    </w:p>
    <w:p>
      <w:pPr>
        <w:pStyle w:val="BodyText"/>
        <w:spacing w:line="276" w:lineRule="auto" w:before="204"/>
        <w:ind w:left="100" w:right="113"/>
        <w:jc w:val="both"/>
      </w:pPr>
      <w:r>
        <w:rPr/>
        <w:t>CREDO’s</w:t>
      </w:r>
      <w:r>
        <w:rPr>
          <w:spacing w:val="-11"/>
        </w:rPr>
        <w:t> </w:t>
      </w:r>
      <w:r>
        <w:rPr/>
        <w:t>results</w:t>
      </w:r>
      <w:r>
        <w:rPr>
          <w:spacing w:val="-10"/>
        </w:rPr>
        <w:t> </w:t>
      </w:r>
      <w:r>
        <w:rPr/>
        <w:t>can</w:t>
      </w:r>
      <w:r>
        <w:rPr>
          <w:spacing w:val="-9"/>
        </w:rPr>
        <w:t> </w:t>
      </w:r>
      <w:r>
        <w:rPr/>
        <w:t>be</w:t>
      </w:r>
      <w:r>
        <w:rPr>
          <w:spacing w:val="-9"/>
        </w:rPr>
        <w:t> </w:t>
      </w:r>
      <w:r>
        <w:rPr/>
        <w:t>seen</w:t>
      </w:r>
      <w:r>
        <w:rPr>
          <w:spacing w:val="-9"/>
        </w:rPr>
        <w:t> </w:t>
      </w:r>
      <w:r>
        <w:rPr/>
        <w:t>in</w:t>
      </w:r>
      <w:r>
        <w:rPr>
          <w:spacing w:val="-10"/>
        </w:rPr>
        <w:t> </w:t>
      </w:r>
      <w:r>
        <w:rPr/>
        <w:t>Figure</w:t>
      </w:r>
      <w:r>
        <w:rPr>
          <w:spacing w:val="-10"/>
        </w:rPr>
        <w:t> </w:t>
      </w:r>
      <w:r>
        <w:rPr/>
        <w:t>5</w:t>
      </w:r>
      <w:r>
        <w:rPr>
          <w:spacing w:val="-12"/>
        </w:rPr>
        <w:t> </w:t>
      </w:r>
      <w:r>
        <w:rPr/>
        <w:t>for</w:t>
      </w:r>
      <w:r>
        <w:rPr>
          <w:spacing w:val="-11"/>
        </w:rPr>
        <w:t> </w:t>
      </w:r>
      <w:r>
        <w:rPr/>
        <w:t>both</w:t>
      </w:r>
      <w:r>
        <w:rPr>
          <w:spacing w:val="-9"/>
        </w:rPr>
        <w:t> </w:t>
      </w:r>
      <w:r>
        <w:rPr/>
        <w:t>2009</w:t>
      </w:r>
      <w:r>
        <w:rPr>
          <w:spacing w:val="-9"/>
        </w:rPr>
        <w:t> </w:t>
      </w:r>
      <w:r>
        <w:rPr/>
        <w:t>and</w:t>
      </w:r>
      <w:r>
        <w:rPr>
          <w:spacing w:val="-9"/>
        </w:rPr>
        <w:t> </w:t>
      </w:r>
      <w:r>
        <w:rPr/>
        <w:t>2013.</w:t>
      </w:r>
      <w:r>
        <w:rPr>
          <w:spacing w:val="-12"/>
        </w:rPr>
        <w:t> </w:t>
      </w:r>
      <w:r>
        <w:rPr/>
        <w:t>Arizona</w:t>
      </w:r>
      <w:r>
        <w:rPr>
          <w:spacing w:val="-9"/>
        </w:rPr>
        <w:t> </w:t>
      </w:r>
      <w:r>
        <w:rPr/>
        <w:t>appears</w:t>
      </w:r>
      <w:r>
        <w:rPr>
          <w:spacing w:val="-11"/>
        </w:rPr>
        <w:t> </w:t>
      </w:r>
      <w:r>
        <w:rPr/>
        <w:t>in</w:t>
      </w:r>
      <w:r>
        <w:rPr>
          <w:spacing w:val="-10"/>
        </w:rPr>
        <w:t> </w:t>
      </w:r>
      <w:r>
        <w:rPr/>
        <w:t>the lower left quadrant for both reading and math (Raymond 2013). The lower left quadrant represents those states that in CREDO’s 2009 study and 2013 study had charter results inferior to public district schools when comparing charter student performance with a virtual identical twin. In reading Arizona’s performance relative to the earlier study deteriorated</w:t>
      </w:r>
      <w:r>
        <w:rPr>
          <w:spacing w:val="-9"/>
        </w:rPr>
        <w:t> </w:t>
      </w:r>
      <w:r>
        <w:rPr/>
        <w:t>somewhat,</w:t>
      </w:r>
      <w:r>
        <w:rPr>
          <w:spacing w:val="-7"/>
        </w:rPr>
        <w:t> </w:t>
      </w:r>
      <w:r>
        <w:rPr/>
        <w:t>while</w:t>
      </w:r>
      <w:r>
        <w:rPr>
          <w:spacing w:val="-7"/>
        </w:rPr>
        <w:t> </w:t>
      </w:r>
      <w:r>
        <w:rPr/>
        <w:t>in</w:t>
      </w:r>
      <w:r>
        <w:rPr>
          <w:spacing w:val="-10"/>
        </w:rPr>
        <w:t> </w:t>
      </w:r>
      <w:r>
        <w:rPr/>
        <w:t>math</w:t>
      </w:r>
      <w:r>
        <w:rPr>
          <w:spacing w:val="-9"/>
        </w:rPr>
        <w:t> </w:t>
      </w:r>
      <w:r>
        <w:rPr/>
        <w:t>the</w:t>
      </w:r>
      <w:r>
        <w:rPr>
          <w:spacing w:val="-7"/>
        </w:rPr>
        <w:t> </w:t>
      </w:r>
      <w:r>
        <w:rPr/>
        <w:t>results</w:t>
      </w:r>
      <w:r>
        <w:rPr>
          <w:spacing w:val="-8"/>
        </w:rPr>
        <w:t> </w:t>
      </w:r>
      <w:r>
        <w:rPr/>
        <w:t>were</w:t>
      </w:r>
      <w:r>
        <w:rPr>
          <w:spacing w:val="-8"/>
        </w:rPr>
        <w:t> </w:t>
      </w:r>
      <w:r>
        <w:rPr/>
        <w:t>about</w:t>
      </w:r>
      <w:r>
        <w:rPr>
          <w:spacing w:val="-10"/>
        </w:rPr>
        <w:t> </w:t>
      </w:r>
      <w:r>
        <w:rPr/>
        <w:t>the</w:t>
      </w:r>
      <w:r>
        <w:rPr>
          <w:spacing w:val="-7"/>
        </w:rPr>
        <w:t> </w:t>
      </w:r>
      <w:r>
        <w:rPr/>
        <w:t>same</w:t>
      </w:r>
      <w:r>
        <w:rPr>
          <w:spacing w:val="-7"/>
        </w:rPr>
        <w:t> </w:t>
      </w:r>
      <w:r>
        <w:rPr/>
        <w:t>in</w:t>
      </w:r>
      <w:r>
        <w:rPr>
          <w:spacing w:val="-10"/>
        </w:rPr>
        <w:t> </w:t>
      </w:r>
      <w:r>
        <w:rPr/>
        <w:t>2009</w:t>
      </w:r>
      <w:r>
        <w:rPr>
          <w:spacing w:val="-9"/>
        </w:rPr>
        <w:t> </w:t>
      </w:r>
      <w:r>
        <w:rPr/>
        <w:t>and</w:t>
      </w:r>
      <w:r>
        <w:rPr>
          <w:spacing w:val="-9"/>
        </w:rPr>
        <w:t> </w:t>
      </w:r>
      <w:r>
        <w:rPr/>
        <w:t>2013. Collectively though, Arizona stands out as having one of the worst performing charter school sectors in the country when compared to equivalent students in public district schools.</w:t>
      </w:r>
    </w:p>
    <w:p>
      <w:pPr>
        <w:pStyle w:val="BodyText"/>
        <w:spacing w:line="276" w:lineRule="auto" w:before="202"/>
        <w:ind w:left="100" w:right="116"/>
        <w:jc w:val="both"/>
      </w:pPr>
      <w:r>
        <w:rPr/>
        <w:t>The CREDO data does have limitations. Because the first test scores are in third grade, any</w:t>
      </w:r>
      <w:r>
        <w:rPr>
          <w:spacing w:val="-10"/>
        </w:rPr>
        <w:t> </w:t>
      </w:r>
      <w:r>
        <w:rPr/>
        <w:t>charter</w:t>
      </w:r>
      <w:r>
        <w:rPr>
          <w:spacing w:val="-8"/>
        </w:rPr>
        <w:t> </w:t>
      </w:r>
      <w:r>
        <w:rPr/>
        <w:t>school</w:t>
      </w:r>
      <w:r>
        <w:rPr>
          <w:spacing w:val="-8"/>
        </w:rPr>
        <w:t> </w:t>
      </w:r>
      <w:r>
        <w:rPr/>
        <w:t>impact</w:t>
      </w:r>
      <w:r>
        <w:rPr>
          <w:spacing w:val="-7"/>
        </w:rPr>
        <w:t> </w:t>
      </w:r>
      <w:r>
        <w:rPr/>
        <w:t>prior</w:t>
      </w:r>
      <w:r>
        <w:rPr>
          <w:spacing w:val="-8"/>
        </w:rPr>
        <w:t> </w:t>
      </w:r>
      <w:r>
        <w:rPr/>
        <w:t>to</w:t>
      </w:r>
      <w:r>
        <w:rPr>
          <w:spacing w:val="-7"/>
        </w:rPr>
        <w:t> </w:t>
      </w:r>
      <w:r>
        <w:rPr/>
        <w:t>third</w:t>
      </w:r>
      <w:r>
        <w:rPr>
          <w:spacing w:val="-7"/>
        </w:rPr>
        <w:t> </w:t>
      </w:r>
      <w:r>
        <w:rPr/>
        <w:t>grade</w:t>
      </w:r>
      <w:r>
        <w:rPr>
          <w:spacing w:val="-9"/>
        </w:rPr>
        <w:t> </w:t>
      </w:r>
      <w:r>
        <w:rPr/>
        <w:t>would</w:t>
      </w:r>
      <w:r>
        <w:rPr>
          <w:spacing w:val="-7"/>
        </w:rPr>
        <w:t> </w:t>
      </w:r>
      <w:r>
        <w:rPr/>
        <w:t>not</w:t>
      </w:r>
      <w:r>
        <w:rPr>
          <w:spacing w:val="-7"/>
        </w:rPr>
        <w:t> </w:t>
      </w:r>
      <w:r>
        <w:rPr/>
        <w:t>be</w:t>
      </w:r>
      <w:r>
        <w:rPr>
          <w:spacing w:val="-7"/>
        </w:rPr>
        <w:t> </w:t>
      </w:r>
      <w:r>
        <w:rPr/>
        <w:t>captured.</w:t>
      </w:r>
      <w:r>
        <w:rPr>
          <w:spacing w:val="-10"/>
        </w:rPr>
        <w:t> </w:t>
      </w:r>
      <w:r>
        <w:rPr/>
        <w:t>In</w:t>
      </w:r>
      <w:r>
        <w:rPr>
          <w:spacing w:val="-7"/>
        </w:rPr>
        <w:t> </w:t>
      </w:r>
      <w:r>
        <w:rPr/>
        <w:t>addition,</w:t>
      </w:r>
      <w:r>
        <w:rPr>
          <w:spacing w:val="-7"/>
        </w:rPr>
        <w:t> </w:t>
      </w:r>
      <w:r>
        <w:rPr/>
        <w:t>CREDO does not differentiate by grade level or the educational mission of the school: rigorous, general, arts, alternative,</w:t>
      </w:r>
      <w:r>
        <w:rPr>
          <w:spacing w:val="-27"/>
        </w:rPr>
        <w:t> </w:t>
      </w:r>
      <w:r>
        <w:rPr/>
        <w:t>etc.</w:t>
      </w:r>
    </w:p>
    <w:p>
      <w:pPr>
        <w:pStyle w:val="BodyText"/>
        <w:spacing w:line="276" w:lineRule="auto" w:before="200"/>
        <w:ind w:left="100" w:right="113"/>
        <w:jc w:val="both"/>
      </w:pPr>
      <w:r>
        <w:rPr/>
        <w:t>CREDO has also done studies that focused on metropolitan areas and with</w:t>
      </w:r>
      <w:r>
        <w:rPr>
          <w:spacing w:val="-40"/>
        </w:rPr>
        <w:t> </w:t>
      </w:r>
      <w:r>
        <w:rPr/>
        <w:t>charters that do online instruction. For Arizona the metro areas covered were Phoenix, Mesa and Tucson. That 2015 study found students in Phoenix and Mesa who attended charter schools did significantly worse in reading and math than equivalent students in public district schools. In Tucson, the charter students did better in math and had no difference in</w:t>
      </w:r>
      <w:r>
        <w:rPr>
          <w:spacing w:val="-7"/>
        </w:rPr>
        <w:t> </w:t>
      </w:r>
      <w:r>
        <w:rPr/>
        <w:t>reading.</w:t>
      </w:r>
      <w:r>
        <w:rPr>
          <w:spacing w:val="-7"/>
        </w:rPr>
        <w:t> </w:t>
      </w:r>
      <w:r>
        <w:rPr/>
        <w:t>For</w:t>
      </w:r>
      <w:r>
        <w:rPr>
          <w:spacing w:val="-8"/>
        </w:rPr>
        <w:t> </w:t>
      </w:r>
      <w:r>
        <w:rPr/>
        <w:t>Mesa</w:t>
      </w:r>
      <w:r>
        <w:rPr>
          <w:spacing w:val="-8"/>
        </w:rPr>
        <w:t> </w:t>
      </w:r>
      <w:r>
        <w:rPr/>
        <w:t>and</w:t>
      </w:r>
      <w:r>
        <w:rPr>
          <w:spacing w:val="-7"/>
        </w:rPr>
        <w:t> </w:t>
      </w:r>
      <w:r>
        <w:rPr/>
        <w:t>Phoenix,</w:t>
      </w:r>
      <w:r>
        <w:rPr>
          <w:spacing w:val="-11"/>
        </w:rPr>
        <w:t> </w:t>
      </w:r>
      <w:r>
        <w:rPr/>
        <w:t>White</w:t>
      </w:r>
      <w:r>
        <w:rPr>
          <w:spacing w:val="-7"/>
        </w:rPr>
        <w:t> </w:t>
      </w:r>
      <w:r>
        <w:rPr/>
        <w:t>students</w:t>
      </w:r>
      <w:r>
        <w:rPr>
          <w:spacing w:val="-7"/>
        </w:rPr>
        <w:t> </w:t>
      </w:r>
      <w:r>
        <w:rPr/>
        <w:t>suffered</w:t>
      </w:r>
      <w:r>
        <w:rPr>
          <w:spacing w:val="-8"/>
        </w:rPr>
        <w:t> </w:t>
      </w:r>
      <w:r>
        <w:rPr/>
        <w:t>the</w:t>
      </w:r>
      <w:r>
        <w:rPr>
          <w:spacing w:val="-8"/>
        </w:rPr>
        <w:t> </w:t>
      </w:r>
      <w:r>
        <w:rPr/>
        <w:t>most</w:t>
      </w:r>
      <w:r>
        <w:rPr>
          <w:spacing w:val="-9"/>
        </w:rPr>
        <w:t> </w:t>
      </w:r>
      <w:r>
        <w:rPr/>
        <w:t>by</w:t>
      </w:r>
      <w:r>
        <w:rPr>
          <w:spacing w:val="-9"/>
        </w:rPr>
        <w:t> </w:t>
      </w:r>
      <w:r>
        <w:rPr/>
        <w:t>attending</w:t>
      </w:r>
      <w:r>
        <w:rPr>
          <w:spacing w:val="-8"/>
        </w:rPr>
        <w:t> </w:t>
      </w:r>
      <w:r>
        <w:rPr/>
        <w:t>charter schools. For Tucson, Black students gained the most and White students gained modestly.</w:t>
      </w:r>
    </w:p>
    <w:p>
      <w:pPr>
        <w:spacing w:after="0" w:line="276" w:lineRule="auto"/>
        <w:jc w:val="both"/>
        <w:sectPr>
          <w:pgSz w:w="12240" w:h="15840"/>
          <w:pgMar w:header="740" w:footer="1002" w:top="940" w:bottom="1200" w:left="1340" w:right="1320"/>
        </w:sectPr>
      </w:pPr>
    </w:p>
    <w:p>
      <w:pPr>
        <w:pStyle w:val="BodyText"/>
        <w:rPr>
          <w:sz w:val="20"/>
        </w:rPr>
      </w:pPr>
    </w:p>
    <w:p>
      <w:pPr>
        <w:pStyle w:val="BodyText"/>
        <w:spacing w:before="7"/>
        <w:rPr>
          <w:sz w:val="21"/>
        </w:rPr>
      </w:pPr>
    </w:p>
    <w:p>
      <w:pPr>
        <w:spacing w:before="0"/>
        <w:ind w:left="100" w:right="0" w:firstLine="0"/>
        <w:jc w:val="left"/>
        <w:rPr>
          <w:i/>
          <w:sz w:val="22"/>
        </w:rPr>
      </w:pPr>
      <w:r>
        <w:rPr/>
        <w:drawing>
          <wp:anchor distT="0" distB="0" distL="0" distR="0" allowOverlap="1" layoutInCell="1" locked="0" behindDoc="0" simplePos="0" relativeHeight="2464">
            <wp:simplePos x="0" y="0"/>
            <wp:positionH relativeFrom="page">
              <wp:posOffset>1258569</wp:posOffset>
            </wp:positionH>
            <wp:positionV relativeFrom="paragraph">
              <wp:posOffset>187678</wp:posOffset>
            </wp:positionV>
            <wp:extent cx="5100766" cy="7536942"/>
            <wp:effectExtent l="0" t="0" r="0" b="0"/>
            <wp:wrapTopAndBottom/>
            <wp:docPr id="39" name="image40.jpeg" descr=""/>
            <wp:cNvGraphicFramePr>
              <a:graphicFrameLocks noChangeAspect="1"/>
            </wp:cNvGraphicFramePr>
            <a:graphic>
              <a:graphicData uri="http://schemas.openxmlformats.org/drawingml/2006/picture">
                <pic:pic>
                  <pic:nvPicPr>
                    <pic:cNvPr id="40" name="image40.jpeg"/>
                    <pic:cNvPicPr/>
                  </pic:nvPicPr>
                  <pic:blipFill>
                    <a:blip r:embed="rId63" cstate="print"/>
                    <a:stretch>
                      <a:fillRect/>
                    </a:stretch>
                  </pic:blipFill>
                  <pic:spPr>
                    <a:xfrm>
                      <a:off x="0" y="0"/>
                      <a:ext cx="5100766" cy="7536942"/>
                    </a:xfrm>
                    <a:prstGeom prst="rect">
                      <a:avLst/>
                    </a:prstGeom>
                  </pic:spPr>
                </pic:pic>
              </a:graphicData>
            </a:graphic>
          </wp:anchor>
        </w:drawing>
      </w:r>
      <w:r>
        <w:rPr>
          <w:i/>
          <w:color w:val="365F91"/>
          <w:sz w:val="22"/>
        </w:rPr>
        <w:t>Figure 5: Comparing Charters to District Schools on Reading and Math</w:t>
      </w:r>
    </w:p>
    <w:p>
      <w:pPr>
        <w:spacing w:after="0"/>
        <w:jc w:val="left"/>
        <w:rPr>
          <w:sz w:val="22"/>
        </w:rPr>
        <w:sectPr>
          <w:pgSz w:w="12240" w:h="15840"/>
          <w:pgMar w:header="740" w:footer="1002" w:top="940" w:bottom="1200" w:left="1340" w:right="1720"/>
        </w:sectPr>
      </w:pPr>
    </w:p>
    <w:p>
      <w:pPr>
        <w:pStyle w:val="BodyText"/>
        <w:rPr>
          <w:i/>
          <w:sz w:val="20"/>
        </w:rPr>
      </w:pPr>
    </w:p>
    <w:p>
      <w:pPr>
        <w:pStyle w:val="BodyText"/>
        <w:spacing w:before="7"/>
        <w:rPr>
          <w:i/>
          <w:sz w:val="21"/>
        </w:rPr>
      </w:pPr>
    </w:p>
    <w:p>
      <w:pPr>
        <w:pStyle w:val="BodyText"/>
        <w:spacing w:line="276" w:lineRule="auto"/>
        <w:ind w:left="100" w:right="115"/>
        <w:jc w:val="both"/>
      </w:pPr>
      <w:r>
        <w:rPr/>
        <w:t>CREDO also evaluated online charter instruction in 2015. They found nationwide online charters were doing a deplorable job (Chingos 2014, James L. Woodworth 2015). In Arizona, attending an online charter meant losing more than 80 days of learning compared to a public district school for an equivalent student and for math the loss was 180 days—an entire year. These results alone suggest the state should be carefully scrutinizing and possibly terminating online charter operators.</w:t>
      </w:r>
    </w:p>
    <w:p>
      <w:pPr>
        <w:pStyle w:val="BodyText"/>
        <w:spacing w:line="276" w:lineRule="auto" w:before="201"/>
        <w:ind w:left="100" w:right="111"/>
        <w:jc w:val="both"/>
      </w:pPr>
      <w:r>
        <w:rPr/>
        <w:t>The Goldwater Institute was concerned by the 2013 CREDO test results and contracted with the Brookings Institution to do a more careful evaluation of charter performance aimed</w:t>
      </w:r>
      <w:r>
        <w:rPr>
          <w:spacing w:val="-13"/>
        </w:rPr>
        <w:t> </w:t>
      </w:r>
      <w:r>
        <w:rPr/>
        <w:t>at</w:t>
      </w:r>
      <w:r>
        <w:rPr>
          <w:spacing w:val="-16"/>
        </w:rPr>
        <w:t> </w:t>
      </w:r>
      <w:r>
        <w:rPr/>
        <w:t>overcoming</w:t>
      </w:r>
      <w:r>
        <w:rPr>
          <w:spacing w:val="-15"/>
        </w:rPr>
        <w:t> </w:t>
      </w:r>
      <w:r>
        <w:rPr/>
        <w:t>the</w:t>
      </w:r>
      <w:r>
        <w:rPr>
          <w:spacing w:val="-13"/>
        </w:rPr>
        <w:t> </w:t>
      </w:r>
      <w:r>
        <w:rPr/>
        <w:t>limitations</w:t>
      </w:r>
      <w:r>
        <w:rPr>
          <w:spacing w:val="-16"/>
        </w:rPr>
        <w:t> </w:t>
      </w:r>
      <w:r>
        <w:rPr/>
        <w:t>with</w:t>
      </w:r>
      <w:r>
        <w:rPr>
          <w:spacing w:val="-13"/>
        </w:rPr>
        <w:t> </w:t>
      </w:r>
      <w:r>
        <w:rPr/>
        <w:t>the</w:t>
      </w:r>
      <w:r>
        <w:rPr>
          <w:spacing w:val="-16"/>
        </w:rPr>
        <w:t> </w:t>
      </w:r>
      <w:r>
        <w:rPr/>
        <w:t>CREDO</w:t>
      </w:r>
      <w:r>
        <w:rPr>
          <w:spacing w:val="-14"/>
        </w:rPr>
        <w:t> </w:t>
      </w:r>
      <w:r>
        <w:rPr/>
        <w:t>methodology</w:t>
      </w:r>
      <w:r>
        <w:rPr>
          <w:spacing w:val="-16"/>
        </w:rPr>
        <w:t> </w:t>
      </w:r>
      <w:r>
        <w:rPr/>
        <w:t>(Chingos</w:t>
      </w:r>
      <w:r>
        <w:rPr>
          <w:spacing w:val="-14"/>
        </w:rPr>
        <w:t> </w:t>
      </w:r>
      <w:r>
        <w:rPr/>
        <w:t>2014,</w:t>
      </w:r>
      <w:r>
        <w:rPr>
          <w:spacing w:val="-13"/>
        </w:rPr>
        <w:t> </w:t>
      </w:r>
      <w:r>
        <w:rPr/>
        <w:t>James</w:t>
      </w:r>
    </w:p>
    <w:p>
      <w:pPr>
        <w:pStyle w:val="ListParagraph"/>
        <w:numPr>
          <w:ilvl w:val="0"/>
          <w:numId w:val="14"/>
        </w:numPr>
        <w:tabs>
          <w:tab w:pos="444" w:val="left" w:leader="none"/>
        </w:tabs>
        <w:spacing w:line="276" w:lineRule="auto" w:before="0" w:after="0"/>
        <w:ind w:left="100" w:right="110" w:firstLine="0"/>
        <w:jc w:val="both"/>
        <w:rPr>
          <w:sz w:val="24"/>
        </w:rPr>
      </w:pPr>
      <w:r>
        <w:rPr>
          <w:sz w:val="24"/>
        </w:rPr>
        <w:t>Woodworth 2015) . The ADE provided student test scores, school enrollment, demographic, and program participation data for academic years 2005-2006 through 2011-2012.</w:t>
      </w:r>
      <w:r>
        <w:rPr>
          <w:spacing w:val="-10"/>
          <w:sz w:val="24"/>
        </w:rPr>
        <w:t> </w:t>
      </w:r>
      <w:r>
        <w:rPr>
          <w:sz w:val="24"/>
        </w:rPr>
        <w:t>ADE</w:t>
      </w:r>
      <w:r>
        <w:rPr>
          <w:spacing w:val="-8"/>
          <w:sz w:val="24"/>
        </w:rPr>
        <w:t> </w:t>
      </w:r>
      <w:r>
        <w:rPr>
          <w:sz w:val="24"/>
        </w:rPr>
        <w:t>did</w:t>
      </w:r>
      <w:r>
        <w:rPr>
          <w:spacing w:val="-7"/>
          <w:sz w:val="24"/>
        </w:rPr>
        <w:t> </w:t>
      </w:r>
      <w:r>
        <w:rPr>
          <w:sz w:val="24"/>
        </w:rPr>
        <w:t>not</w:t>
      </w:r>
      <w:r>
        <w:rPr>
          <w:spacing w:val="-10"/>
          <w:sz w:val="24"/>
        </w:rPr>
        <w:t> </w:t>
      </w:r>
      <w:r>
        <w:rPr>
          <w:sz w:val="24"/>
        </w:rPr>
        <w:t>fully</w:t>
      </w:r>
      <w:r>
        <w:rPr>
          <w:spacing w:val="-10"/>
          <w:sz w:val="24"/>
        </w:rPr>
        <w:t> </w:t>
      </w:r>
      <w:r>
        <w:rPr>
          <w:sz w:val="24"/>
        </w:rPr>
        <w:t>cooperate</w:t>
      </w:r>
      <w:r>
        <w:rPr>
          <w:spacing w:val="-7"/>
          <w:sz w:val="24"/>
        </w:rPr>
        <w:t> </w:t>
      </w:r>
      <w:r>
        <w:rPr>
          <w:sz w:val="24"/>
        </w:rPr>
        <w:t>with</w:t>
      </w:r>
      <w:r>
        <w:rPr>
          <w:spacing w:val="-7"/>
          <w:sz w:val="24"/>
        </w:rPr>
        <w:t> </w:t>
      </w:r>
      <w:r>
        <w:rPr>
          <w:sz w:val="24"/>
        </w:rPr>
        <w:t>researchers</w:t>
      </w:r>
      <w:r>
        <w:rPr>
          <w:spacing w:val="-8"/>
          <w:sz w:val="24"/>
        </w:rPr>
        <w:t> </w:t>
      </w:r>
      <w:r>
        <w:rPr>
          <w:sz w:val="24"/>
        </w:rPr>
        <w:t>so</w:t>
      </w:r>
      <w:r>
        <w:rPr>
          <w:spacing w:val="-7"/>
          <w:sz w:val="24"/>
        </w:rPr>
        <w:t> </w:t>
      </w:r>
      <w:r>
        <w:rPr>
          <w:sz w:val="24"/>
        </w:rPr>
        <w:t>some</w:t>
      </w:r>
      <w:r>
        <w:rPr>
          <w:spacing w:val="-7"/>
          <w:sz w:val="24"/>
        </w:rPr>
        <w:t> </w:t>
      </w:r>
      <w:r>
        <w:rPr>
          <w:sz w:val="24"/>
        </w:rPr>
        <w:t>student</w:t>
      </w:r>
      <w:r>
        <w:rPr>
          <w:spacing w:val="-7"/>
          <w:sz w:val="24"/>
        </w:rPr>
        <w:t> </w:t>
      </w:r>
      <w:r>
        <w:rPr>
          <w:sz w:val="24"/>
        </w:rPr>
        <w:t>level</w:t>
      </w:r>
      <w:r>
        <w:rPr>
          <w:spacing w:val="-8"/>
          <w:sz w:val="24"/>
        </w:rPr>
        <w:t> </w:t>
      </w:r>
      <w:r>
        <w:rPr>
          <w:sz w:val="24"/>
        </w:rPr>
        <w:t>data</w:t>
      </w:r>
      <w:r>
        <w:rPr>
          <w:spacing w:val="-7"/>
          <w:sz w:val="24"/>
        </w:rPr>
        <w:t> </w:t>
      </w:r>
      <w:r>
        <w:rPr>
          <w:sz w:val="24"/>
        </w:rPr>
        <w:t>was incomplete forcing researchers to use methods of estimation to fill the</w:t>
      </w:r>
      <w:r>
        <w:rPr>
          <w:spacing w:val="-30"/>
          <w:sz w:val="24"/>
        </w:rPr>
        <w:t> </w:t>
      </w:r>
      <w:r>
        <w:rPr>
          <w:sz w:val="24"/>
        </w:rPr>
        <w:t>gaps.</w:t>
      </w:r>
    </w:p>
    <w:p>
      <w:pPr>
        <w:pStyle w:val="BodyText"/>
        <w:spacing w:line="276" w:lineRule="auto" w:before="202"/>
        <w:ind w:left="100" w:right="107"/>
        <w:jc w:val="both"/>
      </w:pPr>
      <w:r>
        <w:rPr/>
        <w:t>The</w:t>
      </w:r>
      <w:r>
        <w:rPr>
          <w:spacing w:val="-11"/>
        </w:rPr>
        <w:t> </w:t>
      </w:r>
      <w:r>
        <w:rPr/>
        <w:t>Brookings</w:t>
      </w:r>
      <w:r>
        <w:rPr>
          <w:spacing w:val="-9"/>
        </w:rPr>
        <w:t> </w:t>
      </w:r>
      <w:r>
        <w:rPr/>
        <w:t>study</w:t>
      </w:r>
      <w:r>
        <w:rPr>
          <w:spacing w:val="-14"/>
        </w:rPr>
        <w:t> </w:t>
      </w:r>
      <w:r>
        <w:rPr/>
        <w:t>focused</w:t>
      </w:r>
      <w:r>
        <w:rPr>
          <w:spacing w:val="-11"/>
        </w:rPr>
        <w:t> </w:t>
      </w:r>
      <w:r>
        <w:rPr/>
        <w:t>on</w:t>
      </w:r>
      <w:r>
        <w:rPr>
          <w:spacing w:val="-11"/>
        </w:rPr>
        <w:t> </w:t>
      </w:r>
      <w:r>
        <w:rPr/>
        <w:t>middle</w:t>
      </w:r>
      <w:r>
        <w:rPr>
          <w:spacing w:val="-9"/>
        </w:rPr>
        <w:t> </w:t>
      </w:r>
      <w:r>
        <w:rPr/>
        <w:t>schools,</w:t>
      </w:r>
      <w:r>
        <w:rPr>
          <w:spacing w:val="-9"/>
        </w:rPr>
        <w:t> </w:t>
      </w:r>
      <w:r>
        <w:rPr/>
        <w:t>so</w:t>
      </w:r>
      <w:r>
        <w:rPr>
          <w:spacing w:val="-11"/>
        </w:rPr>
        <w:t> </w:t>
      </w:r>
      <w:r>
        <w:rPr/>
        <w:t>they</w:t>
      </w:r>
      <w:r>
        <w:rPr>
          <w:spacing w:val="-12"/>
        </w:rPr>
        <w:t> </w:t>
      </w:r>
      <w:r>
        <w:rPr/>
        <w:t>could</w:t>
      </w:r>
      <w:r>
        <w:rPr>
          <w:spacing w:val="-11"/>
        </w:rPr>
        <w:t> </w:t>
      </w:r>
      <w:r>
        <w:rPr/>
        <w:t>have</w:t>
      </w:r>
      <w:r>
        <w:rPr>
          <w:spacing w:val="-11"/>
        </w:rPr>
        <w:t> </w:t>
      </w:r>
      <w:r>
        <w:rPr/>
        <w:t>multiple</w:t>
      </w:r>
      <w:r>
        <w:rPr>
          <w:spacing w:val="-11"/>
        </w:rPr>
        <w:t> </w:t>
      </w:r>
      <w:r>
        <w:rPr/>
        <w:t>years</w:t>
      </w:r>
      <w:r>
        <w:rPr>
          <w:spacing w:val="-12"/>
        </w:rPr>
        <w:t> </w:t>
      </w:r>
      <w:r>
        <w:rPr/>
        <w:t>of</w:t>
      </w:r>
      <w:r>
        <w:rPr>
          <w:spacing w:val="-9"/>
        </w:rPr>
        <w:t> </w:t>
      </w:r>
      <w:r>
        <w:rPr/>
        <w:t>test data from the state’s AIMS test, so as to identify students with similar demographics and test scores prior to middle school. Students could then be tracked across their middle school years. The Brookings results also show marginally worse results overall for students in charter schools compared to public district schools with non-urban charters doing particularly poorly. The researchers also found stronger negative impacts in math for above-average students and negative impacts in reading and math for </w:t>
      </w:r>
      <w:r>
        <w:rPr>
          <w:spacing w:val="1"/>
        </w:rPr>
        <w:t>non- </w:t>
      </w:r>
      <w:r>
        <w:rPr/>
        <w:t>English language learner (ELL) students and Non-special education (SPED) students. ELL students</w:t>
      </w:r>
      <w:r>
        <w:rPr>
          <w:spacing w:val="-16"/>
        </w:rPr>
        <w:t> </w:t>
      </w:r>
      <w:r>
        <w:rPr/>
        <w:t>gained</w:t>
      </w:r>
      <w:r>
        <w:rPr>
          <w:spacing w:val="-16"/>
        </w:rPr>
        <w:t> </w:t>
      </w:r>
      <w:r>
        <w:rPr/>
        <w:t>the</w:t>
      </w:r>
      <w:r>
        <w:rPr>
          <w:spacing w:val="-18"/>
        </w:rPr>
        <w:t> </w:t>
      </w:r>
      <w:r>
        <w:rPr/>
        <w:t>most</w:t>
      </w:r>
      <w:r>
        <w:rPr>
          <w:spacing w:val="-18"/>
        </w:rPr>
        <w:t> </w:t>
      </w:r>
      <w:r>
        <w:rPr/>
        <w:t>from</w:t>
      </w:r>
      <w:r>
        <w:rPr>
          <w:spacing w:val="-17"/>
        </w:rPr>
        <w:t> </w:t>
      </w:r>
      <w:r>
        <w:rPr/>
        <w:t>being</w:t>
      </w:r>
      <w:r>
        <w:rPr>
          <w:spacing w:val="-17"/>
        </w:rPr>
        <w:t> </w:t>
      </w:r>
      <w:r>
        <w:rPr/>
        <w:t>in</w:t>
      </w:r>
      <w:r>
        <w:rPr>
          <w:spacing w:val="-16"/>
        </w:rPr>
        <w:t> </w:t>
      </w:r>
      <w:r>
        <w:rPr/>
        <w:t>charters.</w:t>
      </w:r>
      <w:r>
        <w:rPr>
          <w:spacing w:val="-16"/>
        </w:rPr>
        <w:t> </w:t>
      </w:r>
      <w:r>
        <w:rPr/>
        <w:t>Charters</w:t>
      </w:r>
      <w:r>
        <w:rPr>
          <w:spacing w:val="-17"/>
        </w:rPr>
        <w:t> </w:t>
      </w:r>
      <w:r>
        <w:rPr/>
        <w:t>classified</w:t>
      </w:r>
      <w:r>
        <w:rPr>
          <w:spacing w:val="-16"/>
        </w:rPr>
        <w:t> </w:t>
      </w:r>
      <w:r>
        <w:rPr/>
        <w:t>as</w:t>
      </w:r>
      <w:r>
        <w:rPr>
          <w:spacing w:val="-16"/>
        </w:rPr>
        <w:t> </w:t>
      </w:r>
      <w:r>
        <w:rPr/>
        <w:t>rigorous,</w:t>
      </w:r>
      <w:r>
        <w:rPr>
          <w:spacing w:val="-16"/>
        </w:rPr>
        <w:t> </w:t>
      </w:r>
      <w:r>
        <w:rPr/>
        <w:t>however, modestly improved math performance, while general, Art specialized, at risk and online ones retarded math performance. In reading at-risk and online charter schools had the worst</w:t>
      </w:r>
      <w:r>
        <w:rPr>
          <w:spacing w:val="-10"/>
        </w:rPr>
        <w:t> </w:t>
      </w:r>
      <w:r>
        <w:rPr/>
        <w:t>performance.</w:t>
      </w:r>
      <w:r>
        <w:rPr>
          <w:spacing w:val="-12"/>
        </w:rPr>
        <w:t> </w:t>
      </w:r>
      <w:r>
        <w:rPr/>
        <w:t>As</w:t>
      </w:r>
      <w:r>
        <w:rPr>
          <w:spacing w:val="-13"/>
        </w:rPr>
        <w:t> </w:t>
      </w:r>
      <w:r>
        <w:rPr/>
        <w:t>with</w:t>
      </w:r>
      <w:r>
        <w:rPr>
          <w:spacing w:val="-9"/>
        </w:rPr>
        <w:t> </w:t>
      </w:r>
      <w:r>
        <w:rPr/>
        <w:t>the</w:t>
      </w:r>
      <w:r>
        <w:rPr>
          <w:spacing w:val="-9"/>
        </w:rPr>
        <w:t> </w:t>
      </w:r>
      <w:r>
        <w:rPr/>
        <w:t>CREDO</w:t>
      </w:r>
      <w:r>
        <w:rPr>
          <w:spacing w:val="-10"/>
        </w:rPr>
        <w:t> </w:t>
      </w:r>
      <w:r>
        <w:rPr/>
        <w:t>study</w:t>
      </w:r>
      <w:r>
        <w:rPr>
          <w:spacing w:val="-13"/>
        </w:rPr>
        <w:t> </w:t>
      </w:r>
      <w:r>
        <w:rPr/>
        <w:t>the</w:t>
      </w:r>
      <w:r>
        <w:rPr>
          <w:spacing w:val="-12"/>
        </w:rPr>
        <w:t> </w:t>
      </w:r>
      <w:r>
        <w:rPr/>
        <w:t>online</w:t>
      </w:r>
      <w:r>
        <w:rPr>
          <w:spacing w:val="-12"/>
        </w:rPr>
        <w:t> </w:t>
      </w:r>
      <w:r>
        <w:rPr/>
        <w:t>charter</w:t>
      </w:r>
      <w:r>
        <w:rPr>
          <w:spacing w:val="-11"/>
        </w:rPr>
        <w:t> </w:t>
      </w:r>
      <w:r>
        <w:rPr/>
        <w:t>school</w:t>
      </w:r>
      <w:r>
        <w:rPr>
          <w:spacing w:val="-11"/>
        </w:rPr>
        <w:t> </w:t>
      </w:r>
      <w:r>
        <w:rPr/>
        <w:t>performance</w:t>
      </w:r>
      <w:r>
        <w:rPr>
          <w:spacing w:val="-9"/>
        </w:rPr>
        <w:t> </w:t>
      </w:r>
      <w:r>
        <w:rPr/>
        <w:t>was atrocious. Researchers suggested possible missing variables related to students attending them, but that may be charitable. The state needs to carefully scrutinize online charter</w:t>
      </w:r>
      <w:r>
        <w:rPr>
          <w:spacing w:val="-5"/>
        </w:rPr>
        <w:t> </w:t>
      </w:r>
      <w:r>
        <w:rPr/>
        <w:t>operators.</w:t>
      </w:r>
    </w:p>
    <w:p>
      <w:pPr>
        <w:pStyle w:val="BodyText"/>
        <w:spacing w:line="276" w:lineRule="auto" w:before="204"/>
        <w:ind w:left="100" w:right="120"/>
        <w:jc w:val="both"/>
      </w:pPr>
      <w:r>
        <w:rPr/>
        <w:t>Overall, the Brookings study found “charter schools at every grade level have been modestly less effective than public district schools in raising student achievement.”</w:t>
      </w:r>
    </w:p>
    <w:p>
      <w:pPr>
        <w:pStyle w:val="BodyText"/>
        <w:spacing w:line="276" w:lineRule="auto" w:before="199"/>
        <w:ind w:left="100" w:right="111"/>
        <w:jc w:val="both"/>
      </w:pPr>
      <w:r>
        <w:rPr/>
        <w:t>The CREDO study, despite any limitations with its data, shows that Arizona’s charter sector is underperforming relative to other states—though some of those states restrict the student populations to inner cities. Though clearly some charter schools are succeeding, both CREDO and the Brookings study show lackluster performance overall among charters contradicting the notion that choice invariably improves outcomes.</w:t>
      </w:r>
    </w:p>
    <w:p>
      <w:pPr>
        <w:spacing w:line="271" w:lineRule="auto" w:before="199"/>
        <w:ind w:left="100" w:right="111" w:firstLine="0"/>
        <w:jc w:val="both"/>
        <w:rPr>
          <w:i/>
          <w:sz w:val="24"/>
        </w:rPr>
      </w:pPr>
      <w:r>
        <w:rPr>
          <w:sz w:val="24"/>
        </w:rPr>
        <w:t>Why would choice fall short? Neither of these studies publish school-specific results. Arizona’s  </w:t>
      </w:r>
      <w:r>
        <w:rPr>
          <w:i/>
          <w:sz w:val="24"/>
        </w:rPr>
        <w:t>state  rating  systems  also  has  inherent  biases  toward  schools  with more</w:t>
      </w:r>
    </w:p>
    <w:p>
      <w:pPr>
        <w:spacing w:after="0" w:line="271" w:lineRule="auto"/>
        <w:jc w:val="both"/>
        <w:rPr>
          <w:sz w:val="24"/>
        </w:rPr>
        <w:sectPr>
          <w:footerReference w:type="default" r:id="rId64"/>
          <w:pgSz w:w="12240" w:h="15840"/>
          <w:pgMar w:footer="1002" w:header="740" w:top="940" w:bottom="1200" w:left="1340" w:right="1320"/>
        </w:sectPr>
      </w:pPr>
    </w:p>
    <w:p>
      <w:pPr>
        <w:pStyle w:val="BodyText"/>
        <w:rPr>
          <w:i/>
          <w:sz w:val="20"/>
        </w:rPr>
      </w:pPr>
    </w:p>
    <w:p>
      <w:pPr>
        <w:pStyle w:val="BodyText"/>
        <w:spacing w:before="2"/>
        <w:rPr>
          <w:i/>
          <w:sz w:val="21"/>
        </w:rPr>
      </w:pPr>
    </w:p>
    <w:p>
      <w:pPr>
        <w:spacing w:line="278" w:lineRule="auto" w:before="1"/>
        <w:ind w:left="120" w:right="119" w:firstLine="0"/>
        <w:jc w:val="both"/>
        <w:rPr>
          <w:sz w:val="24"/>
        </w:rPr>
      </w:pPr>
      <w:r>
        <w:rPr>
          <w:i/>
          <w:sz w:val="24"/>
        </w:rPr>
        <w:t>favorable socio-economic demographics relative to student performance based on </w:t>
      </w:r>
      <w:r>
        <w:rPr>
          <w:i/>
          <w:sz w:val="24"/>
        </w:rPr>
        <w:t>passing rates</w:t>
      </w:r>
      <w:r>
        <w:rPr>
          <w:sz w:val="24"/>
        </w:rPr>
        <w:t>.</w:t>
      </w:r>
    </w:p>
    <w:p>
      <w:pPr>
        <w:pStyle w:val="BodyText"/>
        <w:spacing w:line="276" w:lineRule="auto" w:before="204"/>
        <w:ind w:left="120" w:right="116"/>
        <w:jc w:val="both"/>
      </w:pPr>
      <w:r>
        <w:rPr>
          <w:sz w:val="22"/>
        </w:rPr>
        <w:t>T</w:t>
      </w:r>
      <w:r>
        <w:rPr/>
        <w:t>he state of Arizona’s own data shows that traditional public schools have an overwhelming proportion of the special needs population in the state. An ADE report entitled 10/1/2009 Federal Child Count by PEA (Public Education Agency) updated as</w:t>
      </w:r>
      <w:r>
        <w:rPr>
          <w:spacing w:val="-47"/>
        </w:rPr>
        <w:t> </w:t>
      </w:r>
      <w:r>
        <w:rPr/>
        <w:t>of 2/1/2010 indicated that nearly 93% of all special needs students in the state are enrolled in traditional public schools. Charters represent 16%</w:t>
      </w:r>
      <w:r>
        <w:rPr>
          <w:spacing w:val="-49"/>
        </w:rPr>
        <w:t> </w:t>
      </w:r>
      <w:r>
        <w:rPr/>
        <w:t>of the student population in Arizona and are educating only 7% of our special needs students. Districts educate 84% of the population</w:t>
      </w:r>
      <w:r>
        <w:rPr>
          <w:spacing w:val="-4"/>
        </w:rPr>
        <w:t> </w:t>
      </w:r>
      <w:r>
        <w:rPr/>
        <w:t>and</w:t>
      </w:r>
      <w:r>
        <w:rPr>
          <w:spacing w:val="-3"/>
        </w:rPr>
        <w:t> </w:t>
      </w:r>
      <w:r>
        <w:rPr/>
        <w:t>93%</w:t>
      </w:r>
      <w:r>
        <w:rPr>
          <w:spacing w:val="-4"/>
        </w:rPr>
        <w:t> </w:t>
      </w:r>
      <w:r>
        <w:rPr/>
        <w:t>of</w:t>
      </w:r>
      <w:r>
        <w:rPr>
          <w:spacing w:val="-5"/>
        </w:rPr>
        <w:t> </w:t>
      </w:r>
      <w:r>
        <w:rPr/>
        <w:t>the</w:t>
      </w:r>
      <w:r>
        <w:rPr>
          <w:spacing w:val="-3"/>
        </w:rPr>
        <w:t> </w:t>
      </w:r>
      <w:r>
        <w:rPr/>
        <w:t>state’s</w:t>
      </w:r>
      <w:r>
        <w:rPr>
          <w:spacing w:val="-4"/>
        </w:rPr>
        <w:t> </w:t>
      </w:r>
      <w:r>
        <w:rPr/>
        <w:t>special</w:t>
      </w:r>
      <w:r>
        <w:rPr>
          <w:spacing w:val="-5"/>
        </w:rPr>
        <w:t> </w:t>
      </w:r>
      <w:r>
        <w:rPr/>
        <w:t>needs</w:t>
      </w:r>
      <w:r>
        <w:rPr>
          <w:spacing w:val="-34"/>
        </w:rPr>
        <w:t> </w:t>
      </w:r>
      <w:r>
        <w:rPr/>
        <w:t>students.</w:t>
      </w:r>
    </w:p>
    <w:p>
      <w:pPr>
        <w:pStyle w:val="BodyText"/>
        <w:spacing w:line="276" w:lineRule="auto" w:before="199"/>
        <w:ind w:left="120" w:right="114"/>
        <w:jc w:val="both"/>
      </w:pPr>
      <w:r>
        <w:rPr>
          <w:b/>
        </w:rPr>
        <w:t>The Alternative Rating Issue: </w:t>
      </w:r>
      <w:r>
        <w:rPr/>
        <w:t>As noted more than 100 charters are now classified as “Alternative” which excludes the category for lowest growth students as well as drop out and graduation rates. All of which is to suggest state classifications of A to F may not accurately reflect how that school performs compared to a public district schools.</w:t>
      </w:r>
    </w:p>
    <w:p>
      <w:pPr>
        <w:pStyle w:val="BodyText"/>
        <w:spacing w:line="276" w:lineRule="auto" w:before="202"/>
        <w:ind w:left="120" w:right="109"/>
        <w:jc w:val="both"/>
      </w:pPr>
      <w:r>
        <w:rPr/>
        <w:t>Markets rely on complete information to function without distortions. Consequently, with incomplete information we shouldn’t be surprised that “choice” leads in many instances to</w:t>
      </w:r>
      <w:r>
        <w:rPr>
          <w:spacing w:val="-7"/>
        </w:rPr>
        <w:t> </w:t>
      </w:r>
      <w:r>
        <w:rPr/>
        <w:t>suboptimal</w:t>
      </w:r>
      <w:r>
        <w:rPr>
          <w:spacing w:val="-10"/>
        </w:rPr>
        <w:t> </w:t>
      </w:r>
      <w:r>
        <w:rPr/>
        <w:t>outcomes</w:t>
      </w:r>
      <w:r>
        <w:rPr>
          <w:spacing w:val="-7"/>
        </w:rPr>
        <w:t> </w:t>
      </w:r>
      <w:r>
        <w:rPr/>
        <w:t>for</w:t>
      </w:r>
      <w:r>
        <w:rPr>
          <w:spacing w:val="-7"/>
        </w:rPr>
        <w:t> </w:t>
      </w:r>
      <w:r>
        <w:rPr/>
        <w:t>students</w:t>
      </w:r>
      <w:r>
        <w:rPr>
          <w:spacing w:val="-9"/>
        </w:rPr>
        <w:t> </w:t>
      </w:r>
      <w:r>
        <w:rPr/>
        <w:t>when</w:t>
      </w:r>
      <w:r>
        <w:rPr>
          <w:spacing w:val="-7"/>
        </w:rPr>
        <w:t> </w:t>
      </w:r>
      <w:r>
        <w:rPr/>
        <w:t>moved</w:t>
      </w:r>
      <w:r>
        <w:rPr>
          <w:spacing w:val="-7"/>
        </w:rPr>
        <w:t> </w:t>
      </w:r>
      <w:r>
        <w:rPr/>
        <w:t>to</w:t>
      </w:r>
      <w:r>
        <w:rPr>
          <w:spacing w:val="-7"/>
        </w:rPr>
        <w:t> </w:t>
      </w:r>
      <w:r>
        <w:rPr/>
        <w:t>charters.</w:t>
      </w:r>
      <w:r>
        <w:rPr>
          <w:spacing w:val="-7"/>
        </w:rPr>
        <w:t> </w:t>
      </w:r>
      <w:r>
        <w:rPr>
          <w:spacing w:val="2"/>
        </w:rPr>
        <w:t>We</w:t>
      </w:r>
      <w:r>
        <w:rPr>
          <w:spacing w:val="-8"/>
        </w:rPr>
        <w:t> </w:t>
      </w:r>
      <w:r>
        <w:rPr/>
        <w:t>know</w:t>
      </w:r>
      <w:r>
        <w:rPr>
          <w:spacing w:val="-10"/>
        </w:rPr>
        <w:t> </w:t>
      </w:r>
      <w:r>
        <w:rPr/>
        <w:t>from</w:t>
      </w:r>
      <w:r>
        <w:rPr>
          <w:spacing w:val="-6"/>
        </w:rPr>
        <w:t> </w:t>
      </w:r>
      <w:r>
        <w:rPr/>
        <w:t>psychology that</w:t>
      </w:r>
      <w:r>
        <w:rPr>
          <w:spacing w:val="-6"/>
        </w:rPr>
        <w:t> </w:t>
      </w:r>
      <w:r>
        <w:rPr/>
        <w:t>once</w:t>
      </w:r>
      <w:r>
        <w:rPr>
          <w:spacing w:val="-4"/>
        </w:rPr>
        <w:t> </w:t>
      </w:r>
      <w:r>
        <w:rPr/>
        <w:t>people</w:t>
      </w:r>
      <w:r>
        <w:rPr>
          <w:spacing w:val="-6"/>
        </w:rPr>
        <w:t> </w:t>
      </w:r>
      <w:r>
        <w:rPr/>
        <w:t>make</w:t>
      </w:r>
      <w:r>
        <w:rPr>
          <w:spacing w:val="-6"/>
        </w:rPr>
        <w:t> </w:t>
      </w:r>
      <w:r>
        <w:rPr/>
        <w:t>a</w:t>
      </w:r>
      <w:r>
        <w:rPr>
          <w:spacing w:val="-4"/>
        </w:rPr>
        <w:t> </w:t>
      </w:r>
      <w:r>
        <w:rPr/>
        <w:t>choice,</w:t>
      </w:r>
      <w:r>
        <w:rPr>
          <w:spacing w:val="-4"/>
        </w:rPr>
        <w:t> </w:t>
      </w:r>
      <w:r>
        <w:rPr/>
        <w:t>they</w:t>
      </w:r>
      <w:r>
        <w:rPr>
          <w:spacing w:val="-7"/>
        </w:rPr>
        <w:t> </w:t>
      </w:r>
      <w:r>
        <w:rPr/>
        <w:t>tend</w:t>
      </w:r>
      <w:r>
        <w:rPr>
          <w:spacing w:val="-4"/>
        </w:rPr>
        <w:t> </w:t>
      </w:r>
      <w:r>
        <w:rPr/>
        <w:t>to</w:t>
      </w:r>
      <w:r>
        <w:rPr>
          <w:spacing w:val="-4"/>
        </w:rPr>
        <w:t> </w:t>
      </w:r>
      <w:r>
        <w:rPr/>
        <w:t>justify</w:t>
      </w:r>
      <w:r>
        <w:rPr>
          <w:spacing w:val="-7"/>
        </w:rPr>
        <w:t> </w:t>
      </w:r>
      <w:r>
        <w:rPr/>
        <w:t>it</w:t>
      </w:r>
      <w:r>
        <w:rPr>
          <w:spacing w:val="-4"/>
        </w:rPr>
        <w:t> </w:t>
      </w:r>
      <w:r>
        <w:rPr/>
        <w:t>and</w:t>
      </w:r>
      <w:r>
        <w:rPr>
          <w:spacing w:val="-6"/>
        </w:rPr>
        <w:t> </w:t>
      </w:r>
      <w:r>
        <w:rPr/>
        <w:t>moving</w:t>
      </w:r>
      <w:r>
        <w:rPr>
          <w:spacing w:val="-5"/>
        </w:rPr>
        <w:t> </w:t>
      </w:r>
      <w:r>
        <w:rPr/>
        <w:t>schools</w:t>
      </w:r>
      <w:r>
        <w:rPr>
          <w:spacing w:val="-5"/>
        </w:rPr>
        <w:t> </w:t>
      </w:r>
      <w:r>
        <w:rPr/>
        <w:t>is</w:t>
      </w:r>
      <w:r>
        <w:rPr>
          <w:spacing w:val="-7"/>
        </w:rPr>
        <w:t> </w:t>
      </w:r>
      <w:r>
        <w:rPr/>
        <w:t>a</w:t>
      </w:r>
      <w:r>
        <w:rPr>
          <w:spacing w:val="-4"/>
        </w:rPr>
        <w:t> </w:t>
      </w:r>
      <w:r>
        <w:rPr/>
        <w:t>significant decision, so we should expect to see choice-supported bias in, for instance, parental satisfaction</w:t>
      </w:r>
      <w:r>
        <w:rPr>
          <w:spacing w:val="-19"/>
        </w:rPr>
        <w:t> </w:t>
      </w:r>
      <w:r>
        <w:rPr/>
        <w:t>surveys</w:t>
      </w:r>
      <w:r>
        <w:rPr>
          <w:spacing w:val="-20"/>
        </w:rPr>
        <w:t> </w:t>
      </w:r>
      <w:r>
        <w:rPr/>
        <w:t>of</w:t>
      </w:r>
      <w:r>
        <w:rPr>
          <w:spacing w:val="-17"/>
        </w:rPr>
        <w:t> </w:t>
      </w:r>
      <w:r>
        <w:rPr/>
        <w:t>charter</w:t>
      </w:r>
      <w:r>
        <w:rPr>
          <w:spacing w:val="-20"/>
        </w:rPr>
        <w:t> </w:t>
      </w:r>
      <w:r>
        <w:rPr/>
        <w:t>school</w:t>
      </w:r>
      <w:r>
        <w:rPr>
          <w:spacing w:val="-20"/>
        </w:rPr>
        <w:t> </w:t>
      </w:r>
      <w:r>
        <w:rPr/>
        <w:t>(Bobocel</w:t>
      </w:r>
      <w:r>
        <w:rPr>
          <w:spacing w:val="-20"/>
        </w:rPr>
        <w:t> </w:t>
      </w:r>
      <w:r>
        <w:rPr/>
        <w:t>1994).</w:t>
      </w:r>
      <w:r>
        <w:rPr>
          <w:spacing w:val="-20"/>
        </w:rPr>
        <w:t> </w:t>
      </w:r>
      <w:r>
        <w:rPr/>
        <w:t>However,</w:t>
      </w:r>
      <w:r>
        <w:rPr>
          <w:spacing w:val="-20"/>
        </w:rPr>
        <w:t> </w:t>
      </w:r>
      <w:r>
        <w:rPr/>
        <w:t>besides</w:t>
      </w:r>
      <w:r>
        <w:rPr>
          <w:spacing w:val="-20"/>
        </w:rPr>
        <w:t> </w:t>
      </w:r>
      <w:r>
        <w:rPr/>
        <w:t>limited</w:t>
      </w:r>
      <w:r>
        <w:rPr>
          <w:spacing w:val="-19"/>
        </w:rPr>
        <w:t> </w:t>
      </w:r>
      <w:r>
        <w:rPr/>
        <w:t>academic information,</w:t>
      </w:r>
      <w:r>
        <w:rPr>
          <w:spacing w:val="-18"/>
        </w:rPr>
        <w:t> </w:t>
      </w:r>
      <w:r>
        <w:rPr/>
        <w:t>parents</w:t>
      </w:r>
      <w:r>
        <w:rPr>
          <w:spacing w:val="-16"/>
        </w:rPr>
        <w:t> </w:t>
      </w:r>
      <w:r>
        <w:rPr/>
        <w:t>are</w:t>
      </w:r>
      <w:r>
        <w:rPr>
          <w:spacing w:val="-16"/>
        </w:rPr>
        <w:t> </w:t>
      </w:r>
      <w:r>
        <w:rPr/>
        <w:t>not</w:t>
      </w:r>
      <w:r>
        <w:rPr>
          <w:spacing w:val="-16"/>
        </w:rPr>
        <w:t> </w:t>
      </w:r>
      <w:r>
        <w:rPr/>
        <w:t>provided</w:t>
      </w:r>
      <w:r>
        <w:rPr>
          <w:spacing w:val="-16"/>
        </w:rPr>
        <w:t> </w:t>
      </w:r>
      <w:r>
        <w:rPr/>
        <w:t>with</w:t>
      </w:r>
      <w:r>
        <w:rPr>
          <w:spacing w:val="-16"/>
        </w:rPr>
        <w:t> </w:t>
      </w:r>
      <w:r>
        <w:rPr/>
        <w:t>transparency</w:t>
      </w:r>
      <w:r>
        <w:rPr>
          <w:spacing w:val="-19"/>
        </w:rPr>
        <w:t> </w:t>
      </w:r>
      <w:r>
        <w:rPr/>
        <w:t>on</w:t>
      </w:r>
      <w:r>
        <w:rPr>
          <w:spacing w:val="-16"/>
        </w:rPr>
        <w:t> </w:t>
      </w:r>
      <w:r>
        <w:rPr/>
        <w:t>the</w:t>
      </w:r>
      <w:r>
        <w:rPr>
          <w:spacing w:val="-18"/>
        </w:rPr>
        <w:t> </w:t>
      </w:r>
      <w:r>
        <w:rPr/>
        <w:t>financial</w:t>
      </w:r>
      <w:r>
        <w:rPr>
          <w:spacing w:val="-17"/>
        </w:rPr>
        <w:t> </w:t>
      </w:r>
      <w:r>
        <w:rPr/>
        <w:t>aspects</w:t>
      </w:r>
      <w:r>
        <w:rPr>
          <w:spacing w:val="-16"/>
        </w:rPr>
        <w:t> </w:t>
      </w:r>
      <w:r>
        <w:rPr/>
        <w:t>of</w:t>
      </w:r>
      <w:r>
        <w:rPr>
          <w:spacing w:val="-14"/>
        </w:rPr>
        <w:t> </w:t>
      </w:r>
      <w:r>
        <w:rPr/>
        <w:t>charter schools.</w:t>
      </w:r>
    </w:p>
    <w:p>
      <w:pPr>
        <w:pStyle w:val="BodyText"/>
        <w:spacing w:line="276" w:lineRule="auto" w:before="202"/>
        <w:ind w:left="120" w:right="114"/>
        <w:jc w:val="both"/>
      </w:pPr>
      <w:r>
        <w:rPr/>
        <w:t>Parents</w:t>
      </w:r>
      <w:r>
        <w:rPr>
          <w:spacing w:val="-11"/>
        </w:rPr>
        <w:t> </w:t>
      </w:r>
      <w:r>
        <w:rPr/>
        <w:t>at</w:t>
      </w:r>
      <w:r>
        <w:rPr>
          <w:spacing w:val="-9"/>
        </w:rPr>
        <w:t> </w:t>
      </w:r>
      <w:r>
        <w:rPr/>
        <w:t>charters</w:t>
      </w:r>
      <w:r>
        <w:rPr>
          <w:spacing w:val="-10"/>
        </w:rPr>
        <w:t> </w:t>
      </w:r>
      <w:r>
        <w:rPr/>
        <w:t>are</w:t>
      </w:r>
      <w:r>
        <w:rPr>
          <w:spacing w:val="-11"/>
        </w:rPr>
        <w:t> </w:t>
      </w:r>
      <w:r>
        <w:rPr/>
        <w:t>provided</w:t>
      </w:r>
      <w:r>
        <w:rPr>
          <w:spacing w:val="-8"/>
        </w:rPr>
        <w:t> </w:t>
      </w:r>
      <w:r>
        <w:rPr/>
        <w:t>no</w:t>
      </w:r>
      <w:r>
        <w:rPr>
          <w:spacing w:val="-11"/>
        </w:rPr>
        <w:t> </w:t>
      </w:r>
      <w:r>
        <w:rPr/>
        <w:t>financial</w:t>
      </w:r>
      <w:r>
        <w:rPr>
          <w:spacing w:val="-12"/>
        </w:rPr>
        <w:t> </w:t>
      </w:r>
      <w:r>
        <w:rPr/>
        <w:t>disclosures</w:t>
      </w:r>
      <w:r>
        <w:rPr>
          <w:spacing w:val="-9"/>
        </w:rPr>
        <w:t> </w:t>
      </w:r>
      <w:r>
        <w:rPr/>
        <w:t>on</w:t>
      </w:r>
      <w:r>
        <w:rPr>
          <w:spacing w:val="-11"/>
        </w:rPr>
        <w:t> </w:t>
      </w:r>
      <w:r>
        <w:rPr/>
        <w:t>how</w:t>
      </w:r>
      <w:r>
        <w:rPr>
          <w:spacing w:val="-12"/>
        </w:rPr>
        <w:t> </w:t>
      </w:r>
      <w:r>
        <w:rPr/>
        <w:t>much</w:t>
      </w:r>
      <w:r>
        <w:rPr>
          <w:spacing w:val="-8"/>
        </w:rPr>
        <w:t> </w:t>
      </w:r>
      <w:r>
        <w:rPr/>
        <w:t>top</w:t>
      </w:r>
      <w:r>
        <w:rPr>
          <w:spacing w:val="-11"/>
        </w:rPr>
        <w:t> </w:t>
      </w:r>
      <w:r>
        <w:rPr/>
        <w:t>administrators make, the extent of related-party transactions, whether the school is in the black or red, and how teacher salaries compare with public district schools. With that information, parents would be better informed when making their decisions and the schools would</w:t>
      </w:r>
      <w:r>
        <w:rPr>
          <w:spacing w:val="-38"/>
        </w:rPr>
        <w:t> </w:t>
      </w:r>
      <w:r>
        <w:rPr/>
        <w:t>be more</w:t>
      </w:r>
      <w:r>
        <w:rPr>
          <w:spacing w:val="-19"/>
        </w:rPr>
        <w:t> </w:t>
      </w:r>
      <w:r>
        <w:rPr/>
        <w:t>accountable.</w:t>
      </w:r>
    </w:p>
    <w:p>
      <w:pPr>
        <w:spacing w:line="276" w:lineRule="auto" w:before="196"/>
        <w:ind w:left="120" w:right="113" w:firstLine="0"/>
        <w:jc w:val="both"/>
        <w:rPr>
          <w:sz w:val="22"/>
        </w:rPr>
      </w:pPr>
      <w:r>
        <w:rPr>
          <w:sz w:val="22"/>
        </w:rPr>
        <w:t>As</w:t>
      </w:r>
      <w:r>
        <w:rPr>
          <w:spacing w:val="-12"/>
          <w:sz w:val="22"/>
        </w:rPr>
        <w:t> </w:t>
      </w:r>
      <w:r>
        <w:rPr>
          <w:sz w:val="22"/>
        </w:rPr>
        <w:t>the</w:t>
      </w:r>
      <w:r>
        <w:rPr>
          <w:spacing w:val="-15"/>
          <w:sz w:val="22"/>
        </w:rPr>
        <w:t> </w:t>
      </w:r>
      <w:r>
        <w:rPr>
          <w:sz w:val="22"/>
        </w:rPr>
        <w:t>failure</w:t>
      </w:r>
      <w:r>
        <w:rPr>
          <w:spacing w:val="-12"/>
          <w:sz w:val="22"/>
        </w:rPr>
        <w:t> </w:t>
      </w:r>
      <w:r>
        <w:rPr>
          <w:sz w:val="22"/>
        </w:rPr>
        <w:t>of</w:t>
      </w:r>
      <w:r>
        <w:rPr>
          <w:spacing w:val="-11"/>
          <w:sz w:val="22"/>
        </w:rPr>
        <w:t> </w:t>
      </w:r>
      <w:r>
        <w:rPr>
          <w:sz w:val="22"/>
        </w:rPr>
        <w:t>Hillcrest</w:t>
      </w:r>
      <w:r>
        <w:rPr>
          <w:spacing w:val="-13"/>
          <w:sz w:val="22"/>
        </w:rPr>
        <w:t> </w:t>
      </w:r>
      <w:r>
        <w:rPr>
          <w:sz w:val="22"/>
        </w:rPr>
        <w:t>Academy</w:t>
      </w:r>
      <w:hyperlink w:history="true" w:anchor="_bookmark67">
        <w:r>
          <w:rPr>
            <w:position w:val="8"/>
            <w:sz w:val="14"/>
          </w:rPr>
          <w:t>25</w:t>
        </w:r>
        <w:r>
          <w:rPr>
            <w:spacing w:val="-8"/>
            <w:position w:val="8"/>
            <w:sz w:val="14"/>
          </w:rPr>
          <w:t> </w:t>
        </w:r>
      </w:hyperlink>
      <w:r>
        <w:rPr>
          <w:sz w:val="22"/>
        </w:rPr>
        <w:t>in</w:t>
      </w:r>
      <w:r>
        <w:rPr>
          <w:spacing w:val="-12"/>
          <w:sz w:val="22"/>
        </w:rPr>
        <w:t> </w:t>
      </w:r>
      <w:r>
        <w:rPr>
          <w:sz w:val="22"/>
        </w:rPr>
        <w:t>October</w:t>
      </w:r>
      <w:r>
        <w:rPr>
          <w:spacing w:val="-14"/>
          <w:sz w:val="22"/>
        </w:rPr>
        <w:t> </w:t>
      </w:r>
      <w:r>
        <w:rPr>
          <w:sz w:val="22"/>
        </w:rPr>
        <w:t>of</w:t>
      </w:r>
      <w:r>
        <w:rPr>
          <w:spacing w:val="-13"/>
          <w:sz w:val="22"/>
        </w:rPr>
        <w:t> </w:t>
      </w:r>
      <w:r>
        <w:rPr>
          <w:sz w:val="22"/>
        </w:rPr>
        <w:t>2016</w:t>
      </w:r>
      <w:r>
        <w:rPr>
          <w:spacing w:val="-13"/>
          <w:sz w:val="22"/>
        </w:rPr>
        <w:t> </w:t>
      </w:r>
      <w:r>
        <w:rPr>
          <w:sz w:val="22"/>
        </w:rPr>
        <w:t>illustrated</w:t>
      </w:r>
      <w:r>
        <w:rPr>
          <w:spacing w:val="-14"/>
          <w:sz w:val="22"/>
        </w:rPr>
        <w:t> </w:t>
      </w:r>
      <w:r>
        <w:rPr>
          <w:sz w:val="22"/>
        </w:rPr>
        <w:t>school</w:t>
      </w:r>
      <w:r>
        <w:rPr>
          <w:spacing w:val="-13"/>
          <w:sz w:val="22"/>
        </w:rPr>
        <w:t> </w:t>
      </w:r>
      <w:r>
        <w:rPr>
          <w:sz w:val="22"/>
        </w:rPr>
        <w:t>closures</w:t>
      </w:r>
      <w:r>
        <w:rPr>
          <w:spacing w:val="-12"/>
          <w:sz w:val="22"/>
        </w:rPr>
        <w:t> </w:t>
      </w:r>
      <w:r>
        <w:rPr>
          <w:sz w:val="22"/>
        </w:rPr>
        <w:t>impact</w:t>
      </w:r>
      <w:r>
        <w:rPr>
          <w:spacing w:val="-13"/>
          <w:sz w:val="22"/>
        </w:rPr>
        <w:t> </w:t>
      </w:r>
      <w:r>
        <w:rPr>
          <w:sz w:val="22"/>
        </w:rPr>
        <w:t>a</w:t>
      </w:r>
      <w:r>
        <w:rPr>
          <w:spacing w:val="-12"/>
          <w:sz w:val="22"/>
        </w:rPr>
        <w:t> </w:t>
      </w:r>
      <w:r>
        <w:rPr>
          <w:sz w:val="22"/>
        </w:rPr>
        <w:t>child’s education. This topic is covered more fully in the second policy report in this series, Red Flags. At this juncture we note a failure rate of 43% for charters since their inception in 1994. Of those closures the following graphic shows the total that closed during the school year. The displacement of students who must then seek open space in either another charter or a district school creates issues for the receiving school(s). The larger the school the greater the impact to other charters and</w:t>
      </w:r>
      <w:r>
        <w:rPr>
          <w:spacing w:val="-18"/>
          <w:sz w:val="22"/>
        </w:rPr>
        <w:t> </w:t>
      </w:r>
      <w:r>
        <w:rPr>
          <w:sz w:val="22"/>
        </w:rPr>
        <w:t>districts.</w:t>
      </w:r>
    </w:p>
    <w:p>
      <w:pPr>
        <w:pStyle w:val="BodyText"/>
        <w:rPr>
          <w:sz w:val="20"/>
        </w:rPr>
      </w:pPr>
    </w:p>
    <w:p>
      <w:pPr>
        <w:pStyle w:val="BodyText"/>
        <w:rPr>
          <w:sz w:val="20"/>
        </w:rPr>
      </w:pPr>
    </w:p>
    <w:p>
      <w:pPr>
        <w:pStyle w:val="BodyText"/>
        <w:spacing w:before="4"/>
        <w:rPr>
          <w:sz w:val="28"/>
        </w:rPr>
      </w:pPr>
      <w:r>
        <w:rPr/>
        <w:pict>
          <v:line style="position:absolute;mso-position-horizontal-relative:page;mso-position-vertical-relative:paragraph;z-index:2488;mso-wrap-distance-left:0;mso-wrap-distance-right:0" from="72pt,18.662636pt" to="216pt,18.662636pt" stroked="true" strokeweight=".72pt" strokecolor="#000000">
            <v:stroke dashstyle="solid"/>
            <w10:wrap type="topAndBottom"/>
          </v:line>
        </w:pict>
      </w:r>
    </w:p>
    <w:p>
      <w:pPr>
        <w:spacing w:before="48"/>
        <w:ind w:left="120" w:right="0" w:firstLine="0"/>
        <w:jc w:val="left"/>
        <w:rPr>
          <w:rFonts w:ascii="Calibri"/>
          <w:sz w:val="20"/>
        </w:rPr>
      </w:pPr>
      <w:bookmarkStart w:name="_bookmark67" w:id="68"/>
      <w:bookmarkEnd w:id="68"/>
      <w:r>
        <w:rPr/>
      </w:r>
      <w:r>
        <w:rPr>
          <w:rFonts w:ascii="Calibri"/>
          <w:position w:val="7"/>
          <w:sz w:val="13"/>
        </w:rPr>
        <w:t>25 </w:t>
      </w:r>
      <w:r>
        <w:rPr>
          <w:rFonts w:ascii="Calibri"/>
          <w:sz w:val="20"/>
        </w:rPr>
        <w:t>Hillcrest Academy failed in the beginning of 2015-2016. The group had running deficits for multiple years prior to its demise. The funding of their debt is currently being questioned in lawsuits against the financing company that sold the bonds.</w:t>
      </w:r>
    </w:p>
    <w:p>
      <w:pPr>
        <w:spacing w:after="0"/>
        <w:jc w:val="left"/>
        <w:rPr>
          <w:rFonts w:ascii="Calibri"/>
          <w:sz w:val="20"/>
        </w:rPr>
        <w:sectPr>
          <w:footerReference w:type="default" r:id="rId65"/>
          <w:pgSz w:w="12240" w:h="15840"/>
          <w:pgMar w:footer="978" w:header="740" w:top="940" w:bottom="1160" w:left="1320" w:right="1320"/>
          <w:pgNumType w:start="71"/>
        </w:sectPr>
      </w:pPr>
    </w:p>
    <w:p>
      <w:pPr>
        <w:pStyle w:val="BodyText"/>
        <w:rPr>
          <w:rFonts w:ascii="Calibri"/>
          <w:sz w:val="20"/>
        </w:rPr>
      </w:pPr>
    </w:p>
    <w:p>
      <w:pPr>
        <w:pStyle w:val="BodyText"/>
        <w:spacing w:before="1" w:after="1"/>
        <w:rPr>
          <w:rFonts w:ascii="Calibri"/>
          <w:sz w:val="20"/>
        </w:rPr>
      </w:pPr>
    </w:p>
    <w:tbl>
      <w:tblPr>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86"/>
        <w:gridCol w:w="4671"/>
      </w:tblGrid>
      <w:tr>
        <w:trPr>
          <w:trHeight w:val="2180" w:hRule="atLeast"/>
        </w:trPr>
        <w:tc>
          <w:tcPr>
            <w:tcW w:w="4686" w:type="dxa"/>
            <w:shd w:val="clear" w:color="auto" w:fill="040404"/>
          </w:tcPr>
          <w:p>
            <w:pPr>
              <w:pStyle w:val="TableParagraph"/>
              <w:jc w:val="left"/>
              <w:rPr>
                <w:rFonts w:ascii="Calibri"/>
                <w:sz w:val="26"/>
              </w:rPr>
            </w:pPr>
          </w:p>
          <w:p>
            <w:pPr>
              <w:pStyle w:val="TableParagraph"/>
              <w:spacing w:line="276" w:lineRule="auto" w:before="202"/>
              <w:ind w:left="173" w:right="157" w:firstLine="283"/>
              <w:jc w:val="left"/>
              <w:rPr>
                <w:b/>
                <w:sz w:val="24"/>
              </w:rPr>
            </w:pPr>
            <w:r>
              <w:rPr>
                <w:b/>
                <w:color w:val="FFFFFF"/>
                <w:sz w:val="24"/>
              </w:rPr>
              <w:t>Schools that CLOSED During the Academic Year as of October 15, 2016</w:t>
            </w:r>
          </w:p>
        </w:tc>
        <w:tc>
          <w:tcPr>
            <w:tcW w:w="4671" w:type="dxa"/>
            <w:tcBorders>
              <w:bottom w:val="single" w:sz="4" w:space="0" w:color="000000"/>
              <w:right w:val="single" w:sz="4" w:space="0" w:color="000000"/>
            </w:tcBorders>
            <w:shd w:val="clear" w:color="auto" w:fill="FFFF00"/>
          </w:tcPr>
          <w:p>
            <w:pPr>
              <w:pStyle w:val="TableParagraph"/>
              <w:jc w:val="left"/>
              <w:rPr>
                <w:rFonts w:ascii="Calibri"/>
                <w:sz w:val="28"/>
              </w:rPr>
            </w:pPr>
          </w:p>
          <w:p>
            <w:pPr>
              <w:pStyle w:val="TableParagraph"/>
              <w:spacing w:before="173"/>
              <w:ind w:left="237" w:right="242"/>
              <w:rPr>
                <w:b/>
                <w:sz w:val="26"/>
              </w:rPr>
            </w:pPr>
            <w:r>
              <w:rPr>
                <w:b/>
                <w:sz w:val="26"/>
              </w:rPr>
              <w:t>67 Closures</w:t>
            </w:r>
          </w:p>
          <w:p>
            <w:pPr>
              <w:pStyle w:val="TableParagraph"/>
              <w:spacing w:line="276" w:lineRule="auto" w:before="245"/>
              <w:ind w:left="244" w:right="242"/>
              <w:rPr>
                <w:b/>
                <w:sz w:val="24"/>
              </w:rPr>
            </w:pPr>
            <w:r>
              <w:rPr>
                <w:b/>
                <w:sz w:val="24"/>
              </w:rPr>
              <w:t>School Year Closings are Defined as between October and March of the School Year</w:t>
            </w:r>
          </w:p>
        </w:tc>
      </w:tr>
    </w:tbl>
    <w:p>
      <w:pPr>
        <w:pStyle w:val="BodyText"/>
        <w:spacing w:before="3"/>
        <w:rPr>
          <w:rFonts w:ascii="Calibri"/>
          <w:sz w:val="19"/>
        </w:rPr>
      </w:pPr>
    </w:p>
    <w:p>
      <w:pPr>
        <w:spacing w:line="278" w:lineRule="auto" w:before="94"/>
        <w:ind w:left="220" w:right="116" w:firstLine="0"/>
        <w:jc w:val="both"/>
        <w:rPr>
          <w:sz w:val="22"/>
        </w:rPr>
      </w:pPr>
      <w:r>
        <w:rPr>
          <w:sz w:val="22"/>
        </w:rPr>
        <w:t>A</w:t>
      </w:r>
      <w:r>
        <w:rPr>
          <w:spacing w:val="-5"/>
          <w:sz w:val="22"/>
        </w:rPr>
        <w:t> </w:t>
      </w:r>
      <w:r>
        <w:rPr>
          <w:sz w:val="22"/>
        </w:rPr>
        <w:t>disturbing</w:t>
      </w:r>
      <w:r>
        <w:rPr>
          <w:spacing w:val="-5"/>
          <w:sz w:val="22"/>
        </w:rPr>
        <w:t> </w:t>
      </w:r>
      <w:r>
        <w:rPr>
          <w:sz w:val="22"/>
        </w:rPr>
        <w:t>phrase</w:t>
      </w:r>
      <w:r>
        <w:rPr>
          <w:spacing w:val="-8"/>
          <w:sz w:val="22"/>
        </w:rPr>
        <w:t> </w:t>
      </w:r>
      <w:r>
        <w:rPr>
          <w:sz w:val="22"/>
        </w:rPr>
        <w:t>heard</w:t>
      </w:r>
      <w:r>
        <w:rPr>
          <w:spacing w:val="-5"/>
          <w:sz w:val="22"/>
        </w:rPr>
        <w:t> </w:t>
      </w:r>
      <w:r>
        <w:rPr>
          <w:sz w:val="22"/>
        </w:rPr>
        <w:t>numerous</w:t>
      </w:r>
      <w:r>
        <w:rPr>
          <w:spacing w:val="-7"/>
          <w:sz w:val="22"/>
        </w:rPr>
        <w:t> </w:t>
      </w:r>
      <w:r>
        <w:rPr>
          <w:sz w:val="22"/>
        </w:rPr>
        <w:t>times</w:t>
      </w:r>
      <w:r>
        <w:rPr>
          <w:spacing w:val="-5"/>
          <w:sz w:val="22"/>
        </w:rPr>
        <w:t> </w:t>
      </w:r>
      <w:r>
        <w:rPr>
          <w:sz w:val="22"/>
        </w:rPr>
        <w:t>while</w:t>
      </w:r>
      <w:r>
        <w:rPr>
          <w:spacing w:val="-5"/>
          <w:sz w:val="22"/>
        </w:rPr>
        <w:t> </w:t>
      </w:r>
      <w:r>
        <w:rPr>
          <w:sz w:val="22"/>
        </w:rPr>
        <w:t>in</w:t>
      </w:r>
      <w:r>
        <w:rPr>
          <w:spacing w:val="-5"/>
          <w:sz w:val="22"/>
        </w:rPr>
        <w:t> </w:t>
      </w:r>
      <w:r>
        <w:rPr>
          <w:sz w:val="22"/>
        </w:rPr>
        <w:t>the</w:t>
      </w:r>
      <w:r>
        <w:rPr>
          <w:spacing w:val="-8"/>
          <w:sz w:val="22"/>
        </w:rPr>
        <w:t> </w:t>
      </w:r>
      <w:r>
        <w:rPr>
          <w:sz w:val="22"/>
        </w:rPr>
        <w:t>charter</w:t>
      </w:r>
      <w:r>
        <w:rPr>
          <w:spacing w:val="-4"/>
          <w:sz w:val="22"/>
        </w:rPr>
        <w:t> </w:t>
      </w:r>
      <w:r>
        <w:rPr>
          <w:sz w:val="22"/>
        </w:rPr>
        <w:t>industry</w:t>
      </w:r>
      <w:r>
        <w:rPr>
          <w:spacing w:val="-7"/>
          <w:sz w:val="22"/>
        </w:rPr>
        <w:t> </w:t>
      </w:r>
      <w:r>
        <w:rPr>
          <w:sz w:val="22"/>
        </w:rPr>
        <w:t>and</w:t>
      </w:r>
      <w:r>
        <w:rPr>
          <w:spacing w:val="-5"/>
          <w:sz w:val="22"/>
        </w:rPr>
        <w:t> </w:t>
      </w:r>
      <w:r>
        <w:rPr>
          <w:sz w:val="22"/>
        </w:rPr>
        <w:t>speaking</w:t>
      </w:r>
      <w:r>
        <w:rPr>
          <w:spacing w:val="-3"/>
          <w:sz w:val="22"/>
        </w:rPr>
        <w:t> </w:t>
      </w:r>
      <w:r>
        <w:rPr>
          <w:sz w:val="22"/>
        </w:rPr>
        <w:t>with</w:t>
      </w:r>
      <w:r>
        <w:rPr>
          <w:spacing w:val="-7"/>
          <w:sz w:val="22"/>
        </w:rPr>
        <w:t> </w:t>
      </w:r>
      <w:r>
        <w:rPr>
          <w:sz w:val="22"/>
        </w:rPr>
        <w:t>former ASBCS</w:t>
      </w:r>
      <w:r>
        <w:rPr>
          <w:spacing w:val="-16"/>
          <w:sz w:val="22"/>
        </w:rPr>
        <w:t> </w:t>
      </w:r>
      <w:r>
        <w:rPr>
          <w:sz w:val="22"/>
        </w:rPr>
        <w:t>members</w:t>
      </w:r>
      <w:r>
        <w:rPr>
          <w:spacing w:val="-15"/>
          <w:sz w:val="22"/>
        </w:rPr>
        <w:t> </w:t>
      </w:r>
      <w:r>
        <w:rPr>
          <w:sz w:val="22"/>
        </w:rPr>
        <w:t>was,</w:t>
      </w:r>
      <w:r>
        <w:rPr>
          <w:spacing w:val="-15"/>
          <w:sz w:val="22"/>
        </w:rPr>
        <w:t> </w:t>
      </w:r>
      <w:r>
        <w:rPr>
          <w:sz w:val="22"/>
        </w:rPr>
        <w:t>“starving</w:t>
      </w:r>
      <w:r>
        <w:rPr>
          <w:spacing w:val="-16"/>
          <w:sz w:val="22"/>
        </w:rPr>
        <w:t> </w:t>
      </w:r>
      <w:r>
        <w:rPr>
          <w:sz w:val="22"/>
        </w:rPr>
        <w:t>the</w:t>
      </w:r>
      <w:r>
        <w:rPr>
          <w:spacing w:val="-16"/>
          <w:sz w:val="22"/>
        </w:rPr>
        <w:t> </w:t>
      </w:r>
      <w:r>
        <w:rPr>
          <w:sz w:val="22"/>
        </w:rPr>
        <w:t>beast</w:t>
      </w:r>
      <w:r>
        <w:rPr>
          <w:spacing w:val="-14"/>
          <w:sz w:val="22"/>
        </w:rPr>
        <w:t> </w:t>
      </w:r>
      <w:r>
        <w:rPr>
          <w:sz w:val="22"/>
        </w:rPr>
        <w:t>of</w:t>
      </w:r>
      <w:r>
        <w:rPr>
          <w:spacing w:val="-14"/>
          <w:sz w:val="22"/>
        </w:rPr>
        <w:t> </w:t>
      </w:r>
      <w:r>
        <w:rPr>
          <w:sz w:val="22"/>
        </w:rPr>
        <w:t>public</w:t>
      </w:r>
      <w:r>
        <w:rPr>
          <w:spacing w:val="-15"/>
          <w:sz w:val="22"/>
        </w:rPr>
        <w:t> </w:t>
      </w:r>
      <w:r>
        <w:rPr>
          <w:sz w:val="22"/>
        </w:rPr>
        <w:t>(i.e.</w:t>
      </w:r>
      <w:r>
        <w:rPr>
          <w:spacing w:val="-14"/>
          <w:sz w:val="22"/>
        </w:rPr>
        <w:t> </w:t>
      </w:r>
      <w:r>
        <w:rPr>
          <w:sz w:val="22"/>
        </w:rPr>
        <w:t>district)</w:t>
      </w:r>
      <w:r>
        <w:rPr>
          <w:spacing w:val="-15"/>
          <w:sz w:val="22"/>
        </w:rPr>
        <w:t> </w:t>
      </w:r>
      <w:r>
        <w:rPr>
          <w:sz w:val="22"/>
        </w:rPr>
        <w:t>education”.</w:t>
      </w:r>
      <w:r>
        <w:rPr>
          <w:spacing w:val="-17"/>
          <w:sz w:val="22"/>
        </w:rPr>
        <w:t> </w:t>
      </w:r>
      <w:r>
        <w:rPr>
          <w:sz w:val="22"/>
        </w:rPr>
        <w:t>The</w:t>
      </w:r>
      <w:r>
        <w:rPr>
          <w:spacing w:val="-18"/>
          <w:sz w:val="22"/>
        </w:rPr>
        <w:t> </w:t>
      </w:r>
      <w:r>
        <w:rPr>
          <w:sz w:val="22"/>
        </w:rPr>
        <w:t>data</w:t>
      </w:r>
      <w:r>
        <w:rPr>
          <w:spacing w:val="-18"/>
          <w:sz w:val="22"/>
        </w:rPr>
        <w:t> </w:t>
      </w:r>
      <w:r>
        <w:rPr>
          <w:sz w:val="22"/>
        </w:rPr>
        <w:t>in</w:t>
      </w:r>
      <w:r>
        <w:rPr>
          <w:spacing w:val="-16"/>
          <w:sz w:val="22"/>
        </w:rPr>
        <w:t> </w:t>
      </w:r>
      <w:r>
        <w:rPr>
          <w:sz w:val="22"/>
        </w:rPr>
        <w:t>this</w:t>
      </w:r>
      <w:r>
        <w:rPr>
          <w:spacing w:val="-18"/>
          <w:sz w:val="22"/>
        </w:rPr>
        <w:t> </w:t>
      </w:r>
      <w:r>
        <w:rPr>
          <w:sz w:val="22"/>
        </w:rPr>
        <w:t>report suggests that the beast that needs to be placed on a restricted diet is the charter</w:t>
      </w:r>
      <w:r>
        <w:rPr>
          <w:spacing w:val="-28"/>
          <w:sz w:val="22"/>
        </w:rPr>
        <w:t> </w:t>
      </w:r>
      <w:r>
        <w:rPr>
          <w:sz w:val="22"/>
        </w:rPr>
        <w:t>sector.</w:t>
      </w:r>
    </w:p>
    <w:p>
      <w:pPr>
        <w:spacing w:after="0" w:line="278" w:lineRule="auto"/>
        <w:jc w:val="both"/>
        <w:rPr>
          <w:sz w:val="22"/>
        </w:rPr>
        <w:sectPr>
          <w:pgSz w:w="12240" w:h="15840"/>
          <w:pgMar w:header="740" w:footer="978" w:top="940" w:bottom="1200" w:left="1220" w:right="1320"/>
        </w:sectPr>
      </w:pPr>
    </w:p>
    <w:p>
      <w:pPr>
        <w:pStyle w:val="BodyText"/>
        <w:rPr>
          <w:sz w:val="20"/>
        </w:rPr>
      </w:pPr>
    </w:p>
    <w:p>
      <w:pPr>
        <w:pStyle w:val="BodyText"/>
        <w:spacing w:before="2"/>
        <w:rPr>
          <w:sz w:val="22"/>
        </w:rPr>
      </w:pPr>
    </w:p>
    <w:p>
      <w:pPr>
        <w:pStyle w:val="BodyText"/>
        <w:ind w:left="2740"/>
        <w:rPr>
          <w:sz w:val="20"/>
        </w:rPr>
      </w:pPr>
      <w:r>
        <w:rPr>
          <w:sz w:val="20"/>
        </w:rPr>
        <w:drawing>
          <wp:inline distT="0" distB="0" distL="0" distR="0">
            <wp:extent cx="2745233" cy="914400"/>
            <wp:effectExtent l="0" t="0" r="0" b="0"/>
            <wp:docPr id="41" name="image41.jpeg" descr=""/>
            <wp:cNvGraphicFramePr>
              <a:graphicFrameLocks noChangeAspect="1"/>
            </wp:cNvGraphicFramePr>
            <a:graphic>
              <a:graphicData uri="http://schemas.openxmlformats.org/drawingml/2006/picture">
                <pic:pic>
                  <pic:nvPicPr>
                    <pic:cNvPr id="42" name="image41.jpeg"/>
                    <pic:cNvPicPr/>
                  </pic:nvPicPr>
                  <pic:blipFill>
                    <a:blip r:embed="rId66" cstate="print"/>
                    <a:stretch>
                      <a:fillRect/>
                    </a:stretch>
                  </pic:blipFill>
                  <pic:spPr>
                    <a:xfrm>
                      <a:off x="0" y="0"/>
                      <a:ext cx="2745233" cy="914400"/>
                    </a:xfrm>
                    <a:prstGeom prst="rect">
                      <a:avLst/>
                    </a:prstGeom>
                  </pic:spPr>
                </pic:pic>
              </a:graphicData>
            </a:graphic>
          </wp:inline>
        </w:drawing>
      </w:r>
      <w:r>
        <w:rPr>
          <w:sz w:val="20"/>
        </w:rPr>
      </w:r>
    </w:p>
    <w:p>
      <w:pPr>
        <w:pStyle w:val="BodyText"/>
        <w:spacing w:before="5"/>
        <w:rPr>
          <w:sz w:val="20"/>
        </w:rPr>
      </w:pPr>
    </w:p>
    <w:tbl>
      <w:tblPr>
        <w:tblW w:w="0" w:type="auto"/>
        <w:jc w:val="left"/>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89"/>
        <w:gridCol w:w="4789"/>
      </w:tblGrid>
      <w:tr>
        <w:trPr>
          <w:trHeight w:val="520" w:hRule="atLeast"/>
        </w:trPr>
        <w:tc>
          <w:tcPr>
            <w:tcW w:w="4789" w:type="dxa"/>
            <w:shd w:val="clear" w:color="auto" w:fill="000000"/>
          </w:tcPr>
          <w:p>
            <w:pPr>
              <w:pStyle w:val="TableParagraph"/>
              <w:spacing w:before="3"/>
              <w:ind w:left="1941" w:right="1941"/>
              <w:rPr>
                <w:b/>
                <w:sz w:val="24"/>
              </w:rPr>
            </w:pPr>
            <w:r>
              <w:rPr>
                <w:b/>
                <w:color w:val="FFFFFF"/>
                <w:sz w:val="24"/>
              </w:rPr>
              <w:t>Finding</w:t>
            </w:r>
          </w:p>
        </w:tc>
        <w:tc>
          <w:tcPr>
            <w:tcW w:w="4789" w:type="dxa"/>
            <w:shd w:val="clear" w:color="auto" w:fill="000000"/>
          </w:tcPr>
          <w:p>
            <w:pPr>
              <w:pStyle w:val="TableParagraph"/>
              <w:spacing w:before="3"/>
              <w:ind w:left="1320"/>
              <w:jc w:val="left"/>
              <w:rPr>
                <w:b/>
                <w:sz w:val="24"/>
              </w:rPr>
            </w:pPr>
            <w:r>
              <w:rPr>
                <w:b/>
                <w:color w:val="FFFFFF"/>
                <w:sz w:val="24"/>
              </w:rPr>
              <w:t>Recommendations</w:t>
            </w:r>
          </w:p>
        </w:tc>
      </w:tr>
      <w:tr>
        <w:trPr>
          <w:trHeight w:val="8200" w:hRule="atLeast"/>
        </w:trPr>
        <w:tc>
          <w:tcPr>
            <w:tcW w:w="4789" w:type="dxa"/>
            <w:tcBorders>
              <w:left w:val="single" w:sz="4" w:space="0" w:color="000000"/>
              <w:right w:val="single" w:sz="4" w:space="0" w:color="000000"/>
            </w:tcBorders>
          </w:tcPr>
          <w:p>
            <w:pPr>
              <w:pStyle w:val="TableParagraph"/>
              <w:spacing w:line="276" w:lineRule="auto"/>
              <w:ind w:left="103" w:right="93"/>
              <w:jc w:val="both"/>
              <w:rPr>
                <w:sz w:val="24"/>
              </w:rPr>
            </w:pPr>
            <w:r>
              <w:rPr>
                <w:sz w:val="24"/>
              </w:rPr>
              <w:t>Frequently numbers in AFRs, Audits, and IRS filings are inconsistent even though they cover the same period. Some Audits are inadequately detailed and done by out- of-state firms that may not be familiar with Arizona law.</w:t>
            </w:r>
          </w:p>
        </w:tc>
        <w:tc>
          <w:tcPr>
            <w:tcW w:w="4789" w:type="dxa"/>
            <w:tcBorders>
              <w:left w:val="single" w:sz="4" w:space="0" w:color="000000"/>
              <w:right w:val="single" w:sz="4" w:space="0" w:color="000000"/>
            </w:tcBorders>
          </w:tcPr>
          <w:p>
            <w:pPr>
              <w:pStyle w:val="TableParagraph"/>
              <w:numPr>
                <w:ilvl w:val="0"/>
                <w:numId w:val="15"/>
              </w:numPr>
              <w:tabs>
                <w:tab w:pos="552" w:val="left" w:leader="none"/>
              </w:tabs>
              <w:spacing w:line="259" w:lineRule="auto" w:before="0" w:after="0"/>
              <w:ind w:left="551" w:right="96" w:hanging="448"/>
              <w:jc w:val="both"/>
              <w:rPr>
                <w:sz w:val="24"/>
              </w:rPr>
            </w:pPr>
            <w:r>
              <w:rPr>
                <w:sz w:val="24"/>
              </w:rPr>
              <w:t>Audits need to follow a standard</w:t>
            </w:r>
            <w:r>
              <w:rPr>
                <w:spacing w:val="-45"/>
                <w:sz w:val="24"/>
              </w:rPr>
              <w:t> </w:t>
            </w:r>
            <w:r>
              <w:rPr>
                <w:sz w:val="24"/>
              </w:rPr>
              <w:t>format that requires detail and supporting information on assets and liabilities, revenues and expenditures, and related-party</w:t>
            </w:r>
            <w:r>
              <w:rPr>
                <w:spacing w:val="-22"/>
                <w:sz w:val="24"/>
              </w:rPr>
              <w:t> </w:t>
            </w:r>
            <w:r>
              <w:rPr>
                <w:sz w:val="24"/>
              </w:rPr>
              <w:t>expenses.</w:t>
            </w:r>
          </w:p>
          <w:p>
            <w:pPr>
              <w:pStyle w:val="TableParagraph"/>
              <w:numPr>
                <w:ilvl w:val="1"/>
                <w:numId w:val="15"/>
              </w:numPr>
              <w:tabs>
                <w:tab w:pos="872" w:val="left" w:leader="none"/>
              </w:tabs>
              <w:spacing w:line="259" w:lineRule="auto" w:before="7" w:after="0"/>
              <w:ind w:left="871" w:right="97" w:hanging="272"/>
              <w:jc w:val="both"/>
              <w:rPr>
                <w:sz w:val="24"/>
              </w:rPr>
            </w:pPr>
            <w:r>
              <w:rPr>
                <w:sz w:val="24"/>
              </w:rPr>
              <w:t>Audits need to be done by auditors with</w:t>
            </w:r>
            <w:r>
              <w:rPr>
                <w:spacing w:val="-8"/>
                <w:sz w:val="24"/>
              </w:rPr>
              <w:t> </w:t>
            </w:r>
            <w:r>
              <w:rPr>
                <w:sz w:val="24"/>
              </w:rPr>
              <w:t>offices</w:t>
            </w:r>
            <w:r>
              <w:rPr>
                <w:spacing w:val="-11"/>
                <w:sz w:val="24"/>
              </w:rPr>
              <w:t> </w:t>
            </w:r>
            <w:r>
              <w:rPr>
                <w:sz w:val="24"/>
              </w:rPr>
              <w:t>located</w:t>
            </w:r>
            <w:r>
              <w:rPr>
                <w:spacing w:val="-11"/>
                <w:sz w:val="24"/>
              </w:rPr>
              <w:t> </w:t>
            </w:r>
            <w:r>
              <w:rPr>
                <w:sz w:val="24"/>
              </w:rPr>
              <w:t>in</w:t>
            </w:r>
            <w:r>
              <w:rPr>
                <w:spacing w:val="-11"/>
                <w:sz w:val="24"/>
              </w:rPr>
              <w:t> </w:t>
            </w:r>
            <w:r>
              <w:rPr>
                <w:sz w:val="24"/>
              </w:rPr>
              <w:t>Arizona</w:t>
            </w:r>
            <w:r>
              <w:rPr>
                <w:spacing w:val="-8"/>
                <w:sz w:val="24"/>
              </w:rPr>
              <w:t> </w:t>
            </w:r>
            <w:r>
              <w:rPr>
                <w:sz w:val="24"/>
              </w:rPr>
              <w:t>with</w:t>
            </w:r>
            <w:r>
              <w:rPr>
                <w:spacing w:val="-8"/>
                <w:sz w:val="24"/>
              </w:rPr>
              <w:t> </w:t>
            </w:r>
            <w:r>
              <w:rPr>
                <w:sz w:val="24"/>
              </w:rPr>
              <w:t>a demonstrated expertise in Arizona law.</w:t>
            </w:r>
          </w:p>
          <w:p>
            <w:pPr>
              <w:pStyle w:val="TableParagraph"/>
              <w:numPr>
                <w:ilvl w:val="1"/>
                <w:numId w:val="15"/>
              </w:numPr>
              <w:tabs>
                <w:tab w:pos="872" w:val="left" w:leader="none"/>
              </w:tabs>
              <w:spacing w:line="259" w:lineRule="auto" w:before="0" w:after="0"/>
              <w:ind w:left="871" w:right="98" w:hanging="272"/>
              <w:jc w:val="both"/>
              <w:rPr>
                <w:sz w:val="24"/>
              </w:rPr>
            </w:pPr>
            <w:r>
              <w:rPr>
                <w:sz w:val="24"/>
              </w:rPr>
              <w:t>The ASBCS needs to provide a list of acceptable auditors using data gleaned from the audits to determine which auditors are currently providing acceptable levels of</w:t>
            </w:r>
            <w:r>
              <w:rPr>
                <w:spacing w:val="-15"/>
                <w:sz w:val="24"/>
              </w:rPr>
              <w:t> </w:t>
            </w:r>
            <w:r>
              <w:rPr>
                <w:sz w:val="24"/>
              </w:rPr>
              <w:t>information.</w:t>
            </w:r>
          </w:p>
          <w:p>
            <w:pPr>
              <w:pStyle w:val="TableParagraph"/>
              <w:numPr>
                <w:ilvl w:val="1"/>
                <w:numId w:val="15"/>
              </w:numPr>
              <w:tabs>
                <w:tab w:pos="872" w:val="left" w:leader="none"/>
              </w:tabs>
              <w:spacing w:line="259" w:lineRule="auto" w:before="0" w:after="0"/>
              <w:ind w:left="871" w:right="97" w:hanging="272"/>
              <w:jc w:val="both"/>
              <w:rPr>
                <w:sz w:val="24"/>
              </w:rPr>
            </w:pPr>
            <w:r>
              <w:rPr>
                <w:sz w:val="24"/>
              </w:rPr>
              <w:t>Audits need to be done for each charter entity or for the charter separate from any larger entity it might be part of THEN a Consolidated Audit can be</w:t>
            </w:r>
            <w:r>
              <w:rPr>
                <w:spacing w:val="-33"/>
                <w:sz w:val="24"/>
              </w:rPr>
              <w:t> </w:t>
            </w:r>
            <w:r>
              <w:rPr>
                <w:sz w:val="24"/>
              </w:rPr>
              <w:t>prepared collating that</w:t>
            </w:r>
            <w:r>
              <w:rPr>
                <w:spacing w:val="-23"/>
                <w:sz w:val="24"/>
              </w:rPr>
              <w:t> </w:t>
            </w:r>
            <w:r>
              <w:rPr>
                <w:sz w:val="24"/>
              </w:rPr>
              <w:t>data.</w:t>
            </w:r>
          </w:p>
          <w:p>
            <w:pPr>
              <w:pStyle w:val="TableParagraph"/>
              <w:numPr>
                <w:ilvl w:val="0"/>
                <w:numId w:val="15"/>
              </w:numPr>
              <w:tabs>
                <w:tab w:pos="552" w:val="left" w:leader="none"/>
              </w:tabs>
              <w:spacing w:line="259" w:lineRule="auto" w:before="1" w:after="0"/>
              <w:ind w:left="551" w:right="96" w:hanging="448"/>
              <w:jc w:val="both"/>
              <w:rPr>
                <w:sz w:val="24"/>
              </w:rPr>
            </w:pPr>
            <w:r>
              <w:rPr>
                <w:sz w:val="24"/>
              </w:rPr>
              <w:t>Audit reports need to be numerically identical to what is provided in Federal 990s and AFRs. Any inconsistencies would</w:t>
            </w:r>
            <w:r>
              <w:rPr>
                <w:spacing w:val="-6"/>
                <w:sz w:val="24"/>
              </w:rPr>
              <w:t> </w:t>
            </w:r>
            <w:r>
              <w:rPr>
                <w:sz w:val="24"/>
              </w:rPr>
              <w:t>need</w:t>
            </w:r>
            <w:r>
              <w:rPr>
                <w:spacing w:val="-8"/>
                <w:sz w:val="24"/>
              </w:rPr>
              <w:t> </w:t>
            </w:r>
            <w:r>
              <w:rPr>
                <w:sz w:val="24"/>
              </w:rPr>
              <w:t>to</w:t>
            </w:r>
            <w:r>
              <w:rPr>
                <w:spacing w:val="-8"/>
                <w:sz w:val="24"/>
              </w:rPr>
              <w:t> </w:t>
            </w:r>
            <w:r>
              <w:rPr>
                <w:sz w:val="24"/>
              </w:rPr>
              <w:t>be</w:t>
            </w:r>
            <w:r>
              <w:rPr>
                <w:spacing w:val="-8"/>
                <w:sz w:val="24"/>
              </w:rPr>
              <w:t> </w:t>
            </w:r>
            <w:r>
              <w:rPr>
                <w:sz w:val="24"/>
              </w:rPr>
              <w:t>explained</w:t>
            </w:r>
            <w:r>
              <w:rPr>
                <w:spacing w:val="-6"/>
                <w:sz w:val="24"/>
              </w:rPr>
              <w:t> </w:t>
            </w:r>
            <w:r>
              <w:rPr>
                <w:sz w:val="24"/>
              </w:rPr>
              <w:t>in</w:t>
            </w:r>
            <w:r>
              <w:rPr>
                <w:spacing w:val="-9"/>
                <w:sz w:val="24"/>
              </w:rPr>
              <w:t> </w:t>
            </w:r>
            <w:r>
              <w:rPr>
                <w:sz w:val="24"/>
              </w:rPr>
              <w:t>the</w:t>
            </w:r>
            <w:r>
              <w:rPr>
                <w:spacing w:val="-8"/>
                <w:sz w:val="24"/>
              </w:rPr>
              <w:t> </w:t>
            </w:r>
            <w:r>
              <w:rPr>
                <w:sz w:val="24"/>
              </w:rPr>
              <w:t>audit with specific plans on how to remedy the deficiency in the</w:t>
            </w:r>
            <w:r>
              <w:rPr>
                <w:spacing w:val="-22"/>
                <w:sz w:val="24"/>
              </w:rPr>
              <w:t> </w:t>
            </w:r>
            <w:r>
              <w:rPr>
                <w:sz w:val="24"/>
              </w:rPr>
              <w:t>future.</w:t>
            </w:r>
          </w:p>
        </w:tc>
      </w:tr>
    </w:tbl>
    <w:p>
      <w:pPr>
        <w:pStyle w:val="BodyText"/>
        <w:rPr>
          <w:sz w:val="20"/>
        </w:rPr>
      </w:pPr>
    </w:p>
    <w:p>
      <w:pPr>
        <w:pStyle w:val="BodyText"/>
        <w:rPr>
          <w:sz w:val="20"/>
        </w:rPr>
      </w:pPr>
    </w:p>
    <w:p>
      <w:pPr>
        <w:pStyle w:val="BodyText"/>
        <w:spacing w:before="9"/>
      </w:pPr>
    </w:p>
    <w:p>
      <w:pPr>
        <w:spacing w:line="276" w:lineRule="auto" w:before="93"/>
        <w:ind w:left="218" w:right="212" w:firstLine="0"/>
        <w:jc w:val="both"/>
        <w:rPr>
          <w:i/>
          <w:sz w:val="24"/>
        </w:rPr>
      </w:pPr>
      <w:bookmarkStart w:name="_bookmark68" w:id="69"/>
      <w:bookmarkEnd w:id="69"/>
      <w:r>
        <w:rPr/>
      </w:r>
      <w:r>
        <w:rPr>
          <w:sz w:val="24"/>
        </w:rPr>
        <w:t>Frequently, even though AFRs, audits and IRS filings cover the same period, different amounts are reported to the reporting agency. All three financial reports, the AZ Department of Education AFR, the ASBCS audits, and IRS Form 990 have </w:t>
      </w:r>
      <w:r>
        <w:rPr>
          <w:i/>
          <w:sz w:val="24"/>
        </w:rPr>
        <w:t>required </w:t>
      </w:r>
      <w:r>
        <w:rPr>
          <w:i/>
          <w:sz w:val="24"/>
        </w:rPr>
        <w:t>reporting</w:t>
      </w:r>
      <w:r>
        <w:rPr>
          <w:i/>
          <w:spacing w:val="-18"/>
          <w:sz w:val="24"/>
        </w:rPr>
        <w:t> </w:t>
      </w:r>
      <w:r>
        <w:rPr>
          <w:i/>
          <w:sz w:val="24"/>
        </w:rPr>
        <w:t>regarding</w:t>
      </w:r>
      <w:r>
        <w:rPr>
          <w:i/>
          <w:spacing w:val="-19"/>
          <w:sz w:val="24"/>
        </w:rPr>
        <w:t> </w:t>
      </w:r>
      <w:r>
        <w:rPr>
          <w:i/>
          <w:sz w:val="24"/>
        </w:rPr>
        <w:t>assets</w:t>
      </w:r>
      <w:r>
        <w:rPr>
          <w:i/>
          <w:spacing w:val="-19"/>
          <w:sz w:val="24"/>
        </w:rPr>
        <w:t> </w:t>
      </w:r>
      <w:r>
        <w:rPr>
          <w:i/>
          <w:sz w:val="24"/>
        </w:rPr>
        <w:t>and</w:t>
      </w:r>
      <w:r>
        <w:rPr>
          <w:i/>
          <w:spacing w:val="-19"/>
          <w:sz w:val="24"/>
        </w:rPr>
        <w:t> </w:t>
      </w:r>
      <w:r>
        <w:rPr>
          <w:i/>
          <w:sz w:val="24"/>
        </w:rPr>
        <w:t>liabilities</w:t>
      </w:r>
      <w:r>
        <w:rPr>
          <w:i/>
          <w:spacing w:val="-19"/>
          <w:sz w:val="24"/>
        </w:rPr>
        <w:t> </w:t>
      </w:r>
      <w:r>
        <w:rPr>
          <w:i/>
          <w:sz w:val="24"/>
        </w:rPr>
        <w:t>and</w:t>
      </w:r>
      <w:r>
        <w:rPr>
          <w:i/>
          <w:spacing w:val="-19"/>
          <w:sz w:val="24"/>
        </w:rPr>
        <w:t> </w:t>
      </w:r>
      <w:r>
        <w:rPr>
          <w:i/>
          <w:sz w:val="24"/>
        </w:rPr>
        <w:t>separate</w:t>
      </w:r>
      <w:r>
        <w:rPr>
          <w:i/>
          <w:spacing w:val="-19"/>
          <w:sz w:val="24"/>
        </w:rPr>
        <w:t> </w:t>
      </w:r>
      <w:r>
        <w:rPr>
          <w:i/>
          <w:sz w:val="24"/>
        </w:rPr>
        <w:t>sections</w:t>
      </w:r>
      <w:r>
        <w:rPr>
          <w:i/>
          <w:spacing w:val="-20"/>
          <w:sz w:val="24"/>
        </w:rPr>
        <w:t> </w:t>
      </w:r>
      <w:r>
        <w:rPr>
          <w:i/>
          <w:sz w:val="24"/>
        </w:rPr>
        <w:t>on</w:t>
      </w:r>
      <w:r>
        <w:rPr>
          <w:i/>
          <w:spacing w:val="-19"/>
          <w:sz w:val="24"/>
        </w:rPr>
        <w:t> </w:t>
      </w:r>
      <w:r>
        <w:rPr>
          <w:i/>
          <w:sz w:val="24"/>
        </w:rPr>
        <w:t>revenue</w:t>
      </w:r>
      <w:r>
        <w:rPr>
          <w:i/>
          <w:spacing w:val="-19"/>
          <w:sz w:val="24"/>
        </w:rPr>
        <w:t> </w:t>
      </w:r>
      <w:r>
        <w:rPr>
          <w:i/>
          <w:sz w:val="24"/>
        </w:rPr>
        <w:t>and</w:t>
      </w:r>
      <w:r>
        <w:rPr>
          <w:i/>
          <w:spacing w:val="-21"/>
          <w:sz w:val="24"/>
        </w:rPr>
        <w:t> </w:t>
      </w:r>
      <w:r>
        <w:rPr>
          <w:i/>
          <w:sz w:val="24"/>
        </w:rPr>
        <w:t>expenses.</w:t>
      </w:r>
    </w:p>
    <w:p>
      <w:pPr>
        <w:spacing w:after="0" w:line="276" w:lineRule="auto"/>
        <w:jc w:val="both"/>
        <w:rPr>
          <w:sz w:val="24"/>
        </w:rPr>
        <w:sectPr>
          <w:pgSz w:w="12240" w:h="15840"/>
          <w:pgMar w:header="740" w:footer="978" w:top="940" w:bottom="1200" w:left="1220" w:right="1220"/>
        </w:sectPr>
      </w:pPr>
    </w:p>
    <w:p>
      <w:pPr>
        <w:pStyle w:val="BodyText"/>
        <w:rPr>
          <w:i/>
          <w:sz w:val="20"/>
        </w:rPr>
      </w:pPr>
    </w:p>
    <w:p>
      <w:pPr>
        <w:pStyle w:val="BodyText"/>
        <w:spacing w:before="7"/>
        <w:rPr>
          <w:i/>
          <w:sz w:val="21"/>
        </w:rPr>
      </w:pPr>
    </w:p>
    <w:p>
      <w:pPr>
        <w:pStyle w:val="BodyText"/>
        <w:spacing w:line="276" w:lineRule="auto"/>
        <w:ind w:left="120" w:right="110"/>
        <w:jc w:val="both"/>
      </w:pPr>
      <w:r>
        <w:rPr/>
        <w:t>In theory, all three should match as they apply to the same time period. In fact although most of the IRS reports matched the reporting to the ASBCS audit reports (under 10% did</w:t>
      </w:r>
      <w:r>
        <w:rPr>
          <w:spacing w:val="-10"/>
        </w:rPr>
        <w:t> </w:t>
      </w:r>
      <w:r>
        <w:rPr/>
        <w:t>not</w:t>
      </w:r>
      <w:r>
        <w:rPr>
          <w:spacing w:val="-12"/>
        </w:rPr>
        <w:t> </w:t>
      </w:r>
      <w:r>
        <w:rPr/>
        <w:t>match),</w:t>
      </w:r>
      <w:r>
        <w:rPr>
          <w:spacing w:val="-10"/>
        </w:rPr>
        <w:t> </w:t>
      </w:r>
      <w:r>
        <w:rPr/>
        <w:t>the</w:t>
      </w:r>
      <w:r>
        <w:rPr>
          <w:spacing w:val="-9"/>
        </w:rPr>
        <w:t> </w:t>
      </w:r>
      <w:r>
        <w:rPr/>
        <w:t>reporting</w:t>
      </w:r>
      <w:r>
        <w:rPr>
          <w:spacing w:val="-12"/>
        </w:rPr>
        <w:t> </w:t>
      </w:r>
      <w:r>
        <w:rPr/>
        <w:t>to</w:t>
      </w:r>
      <w:r>
        <w:rPr>
          <w:spacing w:val="-9"/>
        </w:rPr>
        <w:t> </w:t>
      </w:r>
      <w:r>
        <w:rPr/>
        <w:t>the</w:t>
      </w:r>
      <w:r>
        <w:rPr>
          <w:spacing w:val="-12"/>
        </w:rPr>
        <w:t> </w:t>
      </w:r>
      <w:r>
        <w:rPr/>
        <w:t>ADE</w:t>
      </w:r>
      <w:r>
        <w:rPr>
          <w:spacing w:val="-10"/>
        </w:rPr>
        <w:t> </w:t>
      </w:r>
      <w:r>
        <w:rPr/>
        <w:t>was</w:t>
      </w:r>
      <w:r>
        <w:rPr>
          <w:spacing w:val="-13"/>
        </w:rPr>
        <w:t> </w:t>
      </w:r>
      <w:r>
        <w:rPr/>
        <w:t>often</w:t>
      </w:r>
      <w:r>
        <w:rPr>
          <w:spacing w:val="-9"/>
        </w:rPr>
        <w:t> </w:t>
      </w:r>
      <w:r>
        <w:rPr/>
        <w:t>different</w:t>
      </w:r>
      <w:r>
        <w:rPr>
          <w:spacing w:val="-10"/>
        </w:rPr>
        <w:t> </w:t>
      </w:r>
      <w:r>
        <w:rPr/>
        <w:t>than</w:t>
      </w:r>
      <w:r>
        <w:rPr>
          <w:spacing w:val="-12"/>
        </w:rPr>
        <w:t> </w:t>
      </w:r>
      <w:r>
        <w:rPr/>
        <w:t>what</w:t>
      </w:r>
      <w:r>
        <w:rPr>
          <w:spacing w:val="-10"/>
        </w:rPr>
        <w:t> </w:t>
      </w:r>
      <w:r>
        <w:rPr/>
        <w:t>was</w:t>
      </w:r>
      <w:r>
        <w:rPr>
          <w:spacing w:val="-10"/>
        </w:rPr>
        <w:t> </w:t>
      </w:r>
      <w:r>
        <w:rPr/>
        <w:t>reported</w:t>
      </w:r>
      <w:r>
        <w:rPr>
          <w:spacing w:val="-9"/>
        </w:rPr>
        <w:t> </w:t>
      </w:r>
      <w:r>
        <w:rPr/>
        <w:t>to</w:t>
      </w:r>
      <w:r>
        <w:rPr>
          <w:spacing w:val="-9"/>
        </w:rPr>
        <w:t> </w:t>
      </w:r>
      <w:r>
        <w:rPr/>
        <w:t>the ASBCS on the</w:t>
      </w:r>
      <w:r>
        <w:rPr>
          <w:spacing w:val="-10"/>
        </w:rPr>
        <w:t> </w:t>
      </w:r>
      <w:r>
        <w:rPr/>
        <w:t>audits.</w:t>
      </w:r>
    </w:p>
    <w:p>
      <w:pPr>
        <w:pStyle w:val="BodyText"/>
        <w:spacing w:line="276" w:lineRule="auto" w:before="201"/>
        <w:ind w:left="120" w:right="113"/>
        <w:jc w:val="both"/>
      </w:pPr>
      <w:r>
        <w:rPr/>
        <w:t>Digging into the financial reports for charters can raise significant questions. Among the smaller</w:t>
      </w:r>
      <w:r>
        <w:rPr>
          <w:spacing w:val="-17"/>
        </w:rPr>
        <w:t> </w:t>
      </w:r>
      <w:r>
        <w:rPr/>
        <w:t>charters,</w:t>
      </w:r>
      <w:r>
        <w:rPr>
          <w:spacing w:val="-17"/>
        </w:rPr>
        <w:t> </w:t>
      </w:r>
      <w:r>
        <w:rPr/>
        <w:t>the</w:t>
      </w:r>
      <w:r>
        <w:rPr>
          <w:spacing w:val="-16"/>
        </w:rPr>
        <w:t> </w:t>
      </w:r>
      <w:r>
        <w:rPr/>
        <w:t>one</w:t>
      </w:r>
      <w:r>
        <w:rPr>
          <w:spacing w:val="-16"/>
        </w:rPr>
        <w:t> </w:t>
      </w:r>
      <w:r>
        <w:rPr/>
        <w:t>with</w:t>
      </w:r>
      <w:r>
        <w:rPr>
          <w:spacing w:val="-16"/>
        </w:rPr>
        <w:t> </w:t>
      </w:r>
      <w:r>
        <w:rPr/>
        <w:t>the</w:t>
      </w:r>
      <w:r>
        <w:rPr>
          <w:spacing w:val="-16"/>
        </w:rPr>
        <w:t> </w:t>
      </w:r>
      <w:r>
        <w:rPr/>
        <w:t>highest</w:t>
      </w:r>
      <w:r>
        <w:rPr>
          <w:spacing w:val="-16"/>
        </w:rPr>
        <w:t> </w:t>
      </w:r>
      <w:r>
        <w:rPr/>
        <w:t>compensation</w:t>
      </w:r>
      <w:r>
        <w:rPr>
          <w:spacing w:val="-16"/>
        </w:rPr>
        <w:t> </w:t>
      </w:r>
      <w:r>
        <w:rPr/>
        <w:t>to</w:t>
      </w:r>
      <w:r>
        <w:rPr>
          <w:spacing w:val="-15"/>
        </w:rPr>
        <w:t> </w:t>
      </w:r>
      <w:r>
        <w:rPr/>
        <w:t>executives</w:t>
      </w:r>
      <w:r>
        <w:rPr>
          <w:spacing w:val="-16"/>
        </w:rPr>
        <w:t> </w:t>
      </w:r>
      <w:r>
        <w:rPr/>
        <w:t>was</w:t>
      </w:r>
      <w:r>
        <w:rPr>
          <w:spacing w:val="-16"/>
        </w:rPr>
        <w:t> </w:t>
      </w:r>
      <w:r>
        <w:rPr/>
        <w:t>Crown</w:t>
      </w:r>
      <w:r>
        <w:rPr>
          <w:spacing w:val="-13"/>
        </w:rPr>
        <w:t> </w:t>
      </w:r>
      <w:r>
        <w:rPr/>
        <w:t>Charter School, a charter that exceeds on the academic metric, yet its administrative cost per student</w:t>
      </w:r>
      <w:r>
        <w:rPr>
          <w:spacing w:val="-5"/>
        </w:rPr>
        <w:t> </w:t>
      </w:r>
      <w:r>
        <w:rPr/>
        <w:t>(just</w:t>
      </w:r>
      <w:r>
        <w:rPr>
          <w:spacing w:val="-8"/>
        </w:rPr>
        <w:t> </w:t>
      </w:r>
      <w:r>
        <w:rPr/>
        <w:t>less</w:t>
      </w:r>
      <w:r>
        <w:rPr>
          <w:spacing w:val="-8"/>
        </w:rPr>
        <w:t> </w:t>
      </w:r>
      <w:r>
        <w:rPr/>
        <w:t>than</w:t>
      </w:r>
      <w:r>
        <w:rPr>
          <w:spacing w:val="-7"/>
        </w:rPr>
        <w:t> </w:t>
      </w:r>
      <w:r>
        <w:rPr/>
        <w:t>$1,000</w:t>
      </w:r>
      <w:r>
        <w:rPr>
          <w:spacing w:val="-7"/>
        </w:rPr>
        <w:t> </w:t>
      </w:r>
      <w:r>
        <w:rPr/>
        <w:t>per</w:t>
      </w:r>
      <w:r>
        <w:rPr>
          <w:spacing w:val="-9"/>
        </w:rPr>
        <w:t> </w:t>
      </w:r>
      <w:r>
        <w:rPr/>
        <w:t>student)</w:t>
      </w:r>
      <w:r>
        <w:rPr>
          <w:spacing w:val="-8"/>
        </w:rPr>
        <w:t> </w:t>
      </w:r>
      <w:r>
        <w:rPr/>
        <w:t>as</w:t>
      </w:r>
      <w:r>
        <w:rPr>
          <w:spacing w:val="-11"/>
        </w:rPr>
        <w:t> </w:t>
      </w:r>
      <w:r>
        <w:rPr/>
        <w:t>reported</w:t>
      </w:r>
      <w:r>
        <w:rPr>
          <w:spacing w:val="-5"/>
        </w:rPr>
        <w:t> </w:t>
      </w:r>
      <w:r>
        <w:rPr/>
        <w:t>in</w:t>
      </w:r>
      <w:r>
        <w:rPr>
          <w:spacing w:val="-8"/>
        </w:rPr>
        <w:t> </w:t>
      </w:r>
      <w:r>
        <w:rPr/>
        <w:t>its</w:t>
      </w:r>
      <w:r>
        <w:rPr>
          <w:spacing w:val="-6"/>
        </w:rPr>
        <w:t> </w:t>
      </w:r>
      <w:r>
        <w:rPr/>
        <w:t>AFR</w:t>
      </w:r>
      <w:r>
        <w:rPr>
          <w:spacing w:val="-9"/>
        </w:rPr>
        <w:t> </w:t>
      </w:r>
      <w:r>
        <w:rPr/>
        <w:t>is</w:t>
      </w:r>
      <w:r>
        <w:rPr>
          <w:spacing w:val="-6"/>
        </w:rPr>
        <w:t> </w:t>
      </w:r>
      <w:r>
        <w:rPr/>
        <w:t>less</w:t>
      </w:r>
      <w:r>
        <w:rPr>
          <w:spacing w:val="-6"/>
        </w:rPr>
        <w:t> </w:t>
      </w:r>
      <w:r>
        <w:rPr/>
        <w:t>than</w:t>
      </w:r>
      <w:r>
        <w:rPr>
          <w:spacing w:val="-7"/>
        </w:rPr>
        <w:t> </w:t>
      </w:r>
      <w:r>
        <w:rPr/>
        <w:t>the</w:t>
      </w:r>
      <w:r>
        <w:rPr>
          <w:spacing w:val="-5"/>
        </w:rPr>
        <w:t> </w:t>
      </w:r>
      <w:r>
        <w:rPr/>
        <w:t>cost</w:t>
      </w:r>
      <w:r>
        <w:rPr>
          <w:spacing w:val="-8"/>
        </w:rPr>
        <w:t> </w:t>
      </w:r>
      <w:r>
        <w:rPr/>
        <w:t>per student of its two highest paid officials who received a half million dollars collectively in 2013-2014 and by 2015-2016 were still receiving about $330,000 for a school with approximately 300</w:t>
      </w:r>
      <w:r>
        <w:rPr>
          <w:spacing w:val="-14"/>
        </w:rPr>
        <w:t> </w:t>
      </w:r>
      <w:r>
        <w:rPr/>
        <w:t>students.</w:t>
      </w:r>
    </w:p>
    <w:p>
      <w:pPr>
        <w:pStyle w:val="BodyText"/>
        <w:spacing w:line="276" w:lineRule="auto" w:before="199"/>
        <w:ind w:left="120" w:right="108"/>
        <w:jc w:val="both"/>
      </w:pPr>
      <w:r>
        <w:rPr/>
        <w:t>How is this possible? It doesn’t appear that the executive compensation is included in administrative costs for the AFR in 2015-2016. Their audit for 2015-2016 indicated they expended $3 million, including almost a million dollars as a “Loan guarantee fee” to the charter</w:t>
      </w:r>
      <w:r>
        <w:rPr>
          <w:spacing w:val="-11"/>
        </w:rPr>
        <w:t> </w:t>
      </w:r>
      <w:r>
        <w:rPr/>
        <w:t>holder</w:t>
      </w:r>
      <w:r>
        <w:rPr>
          <w:spacing w:val="-9"/>
        </w:rPr>
        <w:t> </w:t>
      </w:r>
      <w:r>
        <w:rPr/>
        <w:t>who</w:t>
      </w:r>
      <w:r>
        <w:rPr>
          <w:spacing w:val="-7"/>
        </w:rPr>
        <w:t> </w:t>
      </w:r>
      <w:r>
        <w:rPr/>
        <w:t>was</w:t>
      </w:r>
      <w:r>
        <w:rPr>
          <w:spacing w:val="-8"/>
        </w:rPr>
        <w:t> </w:t>
      </w:r>
      <w:r>
        <w:rPr/>
        <w:t>guaranteeing</w:t>
      </w:r>
      <w:r>
        <w:rPr>
          <w:spacing w:val="-9"/>
        </w:rPr>
        <w:t> </w:t>
      </w:r>
      <w:r>
        <w:rPr/>
        <w:t>the</w:t>
      </w:r>
      <w:r>
        <w:rPr>
          <w:spacing w:val="-7"/>
        </w:rPr>
        <w:t> </w:t>
      </w:r>
      <w:r>
        <w:rPr/>
        <w:t>loan.</w:t>
      </w:r>
      <w:r>
        <w:rPr>
          <w:spacing w:val="-10"/>
        </w:rPr>
        <w:t> </w:t>
      </w:r>
      <w:r>
        <w:rPr/>
        <w:t>That’s</w:t>
      </w:r>
      <w:r>
        <w:rPr>
          <w:spacing w:val="-10"/>
        </w:rPr>
        <w:t> </w:t>
      </w:r>
      <w:r>
        <w:rPr/>
        <w:t>a</w:t>
      </w:r>
      <w:r>
        <w:rPr>
          <w:spacing w:val="-7"/>
        </w:rPr>
        <w:t> </w:t>
      </w:r>
      <w:r>
        <w:rPr/>
        <w:t>related-party</w:t>
      </w:r>
      <w:r>
        <w:rPr>
          <w:spacing w:val="-10"/>
        </w:rPr>
        <w:t> </w:t>
      </w:r>
      <w:r>
        <w:rPr/>
        <w:t>transaction</w:t>
      </w:r>
      <w:r>
        <w:rPr>
          <w:spacing w:val="-9"/>
        </w:rPr>
        <w:t> </w:t>
      </w:r>
      <w:r>
        <w:rPr/>
        <w:t>which</w:t>
      </w:r>
      <w:r>
        <w:rPr>
          <w:spacing w:val="-7"/>
        </w:rPr>
        <w:t> </w:t>
      </w:r>
      <w:r>
        <w:rPr/>
        <w:t>is unclearly documented in the audit. The question is, how can such a huge expense be justified?</w:t>
      </w:r>
    </w:p>
    <w:p>
      <w:pPr>
        <w:pStyle w:val="BodyText"/>
        <w:spacing w:line="276" w:lineRule="auto" w:before="204"/>
        <w:ind w:left="120" w:right="112"/>
        <w:jc w:val="both"/>
        <w:rPr>
          <w:sz w:val="16"/>
        </w:rPr>
      </w:pPr>
      <w:r>
        <w:rPr/>
        <w:t>The</w:t>
      </w:r>
      <w:r>
        <w:rPr>
          <w:spacing w:val="-19"/>
        </w:rPr>
        <w:t> </w:t>
      </w:r>
      <w:r>
        <w:rPr/>
        <w:t>audit</w:t>
      </w:r>
      <w:r>
        <w:rPr>
          <w:spacing w:val="-20"/>
        </w:rPr>
        <w:t> </w:t>
      </w:r>
      <w:r>
        <w:rPr/>
        <w:t>reveals</w:t>
      </w:r>
      <w:r>
        <w:rPr>
          <w:spacing w:val="-18"/>
        </w:rPr>
        <w:t> </w:t>
      </w:r>
      <w:r>
        <w:rPr/>
        <w:t>they</w:t>
      </w:r>
      <w:r>
        <w:rPr>
          <w:spacing w:val="-22"/>
        </w:rPr>
        <w:t> </w:t>
      </w:r>
      <w:r>
        <w:rPr/>
        <w:t>have</w:t>
      </w:r>
      <w:r>
        <w:rPr>
          <w:spacing w:val="-17"/>
        </w:rPr>
        <w:t> </w:t>
      </w:r>
      <w:r>
        <w:rPr/>
        <w:t>$1.3</w:t>
      </w:r>
      <w:r>
        <w:rPr>
          <w:spacing w:val="-18"/>
        </w:rPr>
        <w:t> </w:t>
      </w:r>
      <w:r>
        <w:rPr/>
        <w:t>million</w:t>
      </w:r>
      <w:r>
        <w:rPr>
          <w:spacing w:val="-19"/>
        </w:rPr>
        <w:t> </w:t>
      </w:r>
      <w:r>
        <w:rPr/>
        <w:t>in</w:t>
      </w:r>
      <w:r>
        <w:rPr>
          <w:spacing w:val="-19"/>
        </w:rPr>
        <w:t> </w:t>
      </w:r>
      <w:r>
        <w:rPr/>
        <w:t>spending</w:t>
      </w:r>
      <w:r>
        <w:rPr>
          <w:spacing w:val="-21"/>
        </w:rPr>
        <w:t> </w:t>
      </w:r>
      <w:r>
        <w:rPr/>
        <w:t>for</w:t>
      </w:r>
      <w:r>
        <w:rPr>
          <w:spacing w:val="-18"/>
        </w:rPr>
        <w:t> </w:t>
      </w:r>
      <w:r>
        <w:rPr/>
        <w:t>“General</w:t>
      </w:r>
      <w:r>
        <w:rPr>
          <w:spacing w:val="-20"/>
        </w:rPr>
        <w:t> </w:t>
      </w:r>
      <w:r>
        <w:rPr/>
        <w:t>and</w:t>
      </w:r>
      <w:r>
        <w:rPr>
          <w:spacing w:val="-21"/>
        </w:rPr>
        <w:t> </w:t>
      </w:r>
      <w:r>
        <w:rPr/>
        <w:t>Management”</w:t>
      </w:r>
      <w:r>
        <w:rPr>
          <w:spacing w:val="-20"/>
        </w:rPr>
        <w:t> </w:t>
      </w:r>
      <w:r>
        <w:rPr/>
        <w:t>which includes the “loan guarantee fee.” They appear to keep it completely off the books in the AFR</w:t>
      </w:r>
      <w:r>
        <w:rPr>
          <w:spacing w:val="-10"/>
        </w:rPr>
        <w:t> </w:t>
      </w:r>
      <w:r>
        <w:rPr/>
        <w:t>submitted</w:t>
      </w:r>
      <w:r>
        <w:rPr>
          <w:spacing w:val="-11"/>
        </w:rPr>
        <w:t> </w:t>
      </w:r>
      <w:r>
        <w:rPr/>
        <w:t>to</w:t>
      </w:r>
      <w:r>
        <w:rPr>
          <w:spacing w:val="-8"/>
        </w:rPr>
        <w:t> </w:t>
      </w:r>
      <w:r>
        <w:rPr/>
        <w:t>the</w:t>
      </w:r>
      <w:r>
        <w:rPr>
          <w:spacing w:val="-8"/>
        </w:rPr>
        <w:t> </w:t>
      </w:r>
      <w:r>
        <w:rPr/>
        <w:t>state</w:t>
      </w:r>
      <w:r>
        <w:rPr>
          <w:spacing w:val="-8"/>
        </w:rPr>
        <w:t> </w:t>
      </w:r>
      <w:r>
        <w:rPr/>
        <w:t>DOE</w:t>
      </w:r>
      <w:r>
        <w:rPr>
          <w:spacing w:val="-9"/>
        </w:rPr>
        <w:t> </w:t>
      </w:r>
      <w:r>
        <w:rPr/>
        <w:t>which</w:t>
      </w:r>
      <w:r>
        <w:rPr>
          <w:spacing w:val="-9"/>
        </w:rPr>
        <w:t> </w:t>
      </w:r>
      <w:r>
        <w:rPr/>
        <w:t>shows</w:t>
      </w:r>
      <w:r>
        <w:rPr>
          <w:spacing w:val="-9"/>
        </w:rPr>
        <w:t> </w:t>
      </w:r>
      <w:r>
        <w:rPr/>
        <w:t>$1.8</w:t>
      </w:r>
      <w:r>
        <w:rPr>
          <w:spacing w:val="-10"/>
        </w:rPr>
        <w:t> </w:t>
      </w:r>
      <w:r>
        <w:rPr/>
        <w:t>million</w:t>
      </w:r>
      <w:r>
        <w:rPr>
          <w:spacing w:val="-8"/>
        </w:rPr>
        <w:t> </w:t>
      </w:r>
      <w:r>
        <w:rPr/>
        <w:t>in</w:t>
      </w:r>
      <w:r>
        <w:rPr>
          <w:spacing w:val="-9"/>
        </w:rPr>
        <w:t> </w:t>
      </w:r>
      <w:r>
        <w:rPr/>
        <w:t>spending—</w:t>
      </w:r>
      <w:r>
        <w:rPr>
          <w:spacing w:val="-9"/>
        </w:rPr>
        <w:t> </w:t>
      </w:r>
      <w:r>
        <w:rPr/>
        <w:t>even</w:t>
      </w:r>
      <w:r>
        <w:rPr>
          <w:spacing w:val="-8"/>
        </w:rPr>
        <w:t> </w:t>
      </w:r>
      <w:r>
        <w:rPr/>
        <w:t>though</w:t>
      </w:r>
      <w:r>
        <w:rPr>
          <w:spacing w:val="-8"/>
        </w:rPr>
        <w:t> </w:t>
      </w:r>
      <w:r>
        <w:rPr/>
        <w:t>the revenue</w:t>
      </w:r>
      <w:r>
        <w:rPr>
          <w:spacing w:val="-17"/>
        </w:rPr>
        <w:t> </w:t>
      </w:r>
      <w:r>
        <w:rPr/>
        <w:t>received</w:t>
      </w:r>
      <w:r>
        <w:rPr>
          <w:spacing w:val="-17"/>
        </w:rPr>
        <w:t> </w:t>
      </w:r>
      <w:r>
        <w:rPr/>
        <w:t>is</w:t>
      </w:r>
      <w:r>
        <w:rPr>
          <w:spacing w:val="-18"/>
        </w:rPr>
        <w:t> </w:t>
      </w:r>
      <w:r>
        <w:rPr/>
        <w:t>similar</w:t>
      </w:r>
      <w:r>
        <w:rPr>
          <w:spacing w:val="-18"/>
        </w:rPr>
        <w:t> </w:t>
      </w:r>
      <w:r>
        <w:rPr/>
        <w:t>in</w:t>
      </w:r>
      <w:r>
        <w:rPr>
          <w:spacing w:val="-17"/>
        </w:rPr>
        <w:t> </w:t>
      </w:r>
      <w:r>
        <w:rPr/>
        <w:t>the</w:t>
      </w:r>
      <w:r>
        <w:rPr>
          <w:spacing w:val="-17"/>
        </w:rPr>
        <w:t> </w:t>
      </w:r>
      <w:r>
        <w:rPr/>
        <w:t>audit</w:t>
      </w:r>
      <w:r>
        <w:rPr>
          <w:spacing w:val="-17"/>
        </w:rPr>
        <w:t> </w:t>
      </w:r>
      <w:r>
        <w:rPr/>
        <w:t>and</w:t>
      </w:r>
      <w:r>
        <w:rPr>
          <w:spacing w:val="-18"/>
        </w:rPr>
        <w:t> </w:t>
      </w:r>
      <w:r>
        <w:rPr/>
        <w:t>AFR.</w:t>
      </w:r>
      <w:r>
        <w:rPr>
          <w:spacing w:val="-17"/>
        </w:rPr>
        <w:t> </w:t>
      </w:r>
      <w:r>
        <w:rPr/>
        <w:t>So</w:t>
      </w:r>
      <w:r>
        <w:rPr>
          <w:spacing w:val="-17"/>
        </w:rPr>
        <w:t> </w:t>
      </w:r>
      <w:r>
        <w:rPr/>
        <w:t>while</w:t>
      </w:r>
      <w:r>
        <w:rPr>
          <w:spacing w:val="-17"/>
        </w:rPr>
        <w:t> </w:t>
      </w:r>
      <w:r>
        <w:rPr/>
        <w:t>the</w:t>
      </w:r>
      <w:r>
        <w:rPr>
          <w:spacing w:val="-17"/>
        </w:rPr>
        <w:t> </w:t>
      </w:r>
      <w:r>
        <w:rPr/>
        <w:t>AFR</w:t>
      </w:r>
      <w:r>
        <w:rPr>
          <w:spacing w:val="-18"/>
        </w:rPr>
        <w:t> </w:t>
      </w:r>
      <w:r>
        <w:rPr/>
        <w:t>suggests</w:t>
      </w:r>
      <w:r>
        <w:rPr>
          <w:spacing w:val="-17"/>
        </w:rPr>
        <w:t> </w:t>
      </w:r>
      <w:r>
        <w:rPr/>
        <w:t>the</w:t>
      </w:r>
      <w:r>
        <w:rPr>
          <w:spacing w:val="-17"/>
        </w:rPr>
        <w:t> </w:t>
      </w:r>
      <w:r>
        <w:rPr/>
        <w:t>operation had revenues that exceeded expenses by a few hundred thousand dollars, the audit indicates they ran an $800,000 deficit due to the added expenses not reported on the AFR</w:t>
      </w:r>
      <w:r>
        <w:rPr>
          <w:spacing w:val="-10"/>
        </w:rPr>
        <w:t> </w:t>
      </w:r>
      <w:r>
        <w:rPr/>
        <w:t>that</w:t>
      </w:r>
      <w:r>
        <w:rPr>
          <w:spacing w:val="-9"/>
        </w:rPr>
        <w:t> </w:t>
      </w:r>
      <w:r>
        <w:rPr/>
        <w:t>benefit</w:t>
      </w:r>
      <w:r>
        <w:rPr>
          <w:spacing w:val="-9"/>
        </w:rPr>
        <w:t> </w:t>
      </w:r>
      <w:r>
        <w:rPr/>
        <w:t>the</w:t>
      </w:r>
      <w:r>
        <w:rPr>
          <w:spacing w:val="-11"/>
        </w:rPr>
        <w:t> </w:t>
      </w:r>
      <w:r>
        <w:rPr/>
        <w:t>primary</w:t>
      </w:r>
      <w:r>
        <w:rPr>
          <w:spacing w:val="-12"/>
        </w:rPr>
        <w:t> </w:t>
      </w:r>
      <w:r>
        <w:rPr/>
        <w:t>owners</w:t>
      </w:r>
      <w:r>
        <w:rPr>
          <w:spacing w:val="-10"/>
        </w:rPr>
        <w:t> </w:t>
      </w:r>
      <w:r>
        <w:rPr/>
        <w:t>and</w:t>
      </w:r>
      <w:r>
        <w:rPr>
          <w:spacing w:val="-11"/>
        </w:rPr>
        <w:t> </w:t>
      </w:r>
      <w:r>
        <w:rPr/>
        <w:t>operators</w:t>
      </w:r>
      <w:r>
        <w:rPr>
          <w:spacing w:val="-10"/>
        </w:rPr>
        <w:t> </w:t>
      </w:r>
      <w:r>
        <w:rPr/>
        <w:t>of</w:t>
      </w:r>
      <w:r>
        <w:rPr>
          <w:spacing w:val="-9"/>
        </w:rPr>
        <w:t> </w:t>
      </w:r>
      <w:r>
        <w:rPr/>
        <w:t>the</w:t>
      </w:r>
      <w:r>
        <w:rPr>
          <w:spacing w:val="-8"/>
        </w:rPr>
        <w:t> </w:t>
      </w:r>
      <w:r>
        <w:rPr/>
        <w:t>charter</w:t>
      </w:r>
      <w:r>
        <w:rPr>
          <w:spacing w:val="-10"/>
        </w:rPr>
        <w:t> </w:t>
      </w:r>
      <w:r>
        <w:rPr/>
        <w:t>school.</w:t>
      </w:r>
      <w:r>
        <w:rPr>
          <w:spacing w:val="-16"/>
        </w:rPr>
        <w:t> </w:t>
      </w:r>
      <w:r>
        <w:rPr/>
        <w:t>When</w:t>
      </w:r>
      <w:r>
        <w:rPr>
          <w:spacing w:val="-11"/>
        </w:rPr>
        <w:t> </w:t>
      </w:r>
      <w:r>
        <w:rPr/>
        <w:t>almost</w:t>
      </w:r>
      <w:r>
        <w:rPr>
          <w:spacing w:val="-9"/>
        </w:rPr>
        <w:t> </w:t>
      </w:r>
      <w:r>
        <w:rPr/>
        <w:t>all of the revenue received by this charter comes from state taxpayers, this level of inconsistency between the audit and AFR should not be</w:t>
      </w:r>
      <w:r>
        <w:rPr>
          <w:spacing w:val="-25"/>
        </w:rPr>
        <w:t> </w:t>
      </w:r>
      <w:r>
        <w:rPr/>
        <w:t>acceptable.</w:t>
      </w:r>
      <w:hyperlink w:history="true" w:anchor="_bookmark69">
        <w:r>
          <w:rPr>
            <w:position w:val="8"/>
            <w:sz w:val="16"/>
          </w:rPr>
          <w:t>26</w:t>
        </w:r>
      </w:hyperlink>
    </w:p>
    <w:p>
      <w:pPr>
        <w:spacing w:line="276" w:lineRule="auto" w:before="198"/>
        <w:ind w:left="120" w:right="112" w:firstLine="0"/>
        <w:jc w:val="both"/>
        <w:rPr>
          <w:i/>
          <w:sz w:val="24"/>
        </w:rPr>
      </w:pPr>
      <w:r>
        <w:rPr>
          <w:sz w:val="24"/>
        </w:rPr>
        <w:t>The dataset provides charts comparing each report AFR 2014-2015 to ASBCS Audit 2014-2015</w:t>
      </w:r>
      <w:r>
        <w:rPr>
          <w:spacing w:val="-12"/>
          <w:sz w:val="24"/>
        </w:rPr>
        <w:t> </w:t>
      </w:r>
      <w:r>
        <w:rPr>
          <w:sz w:val="24"/>
        </w:rPr>
        <w:t>and</w:t>
      </w:r>
      <w:r>
        <w:rPr>
          <w:spacing w:val="-12"/>
          <w:sz w:val="24"/>
        </w:rPr>
        <w:t> </w:t>
      </w:r>
      <w:r>
        <w:rPr>
          <w:sz w:val="24"/>
        </w:rPr>
        <w:t>IRS</w:t>
      </w:r>
      <w:r>
        <w:rPr>
          <w:spacing w:val="-12"/>
          <w:sz w:val="24"/>
        </w:rPr>
        <w:t> </w:t>
      </w:r>
      <w:r>
        <w:rPr>
          <w:sz w:val="24"/>
        </w:rPr>
        <w:t>Form</w:t>
      </w:r>
      <w:r>
        <w:rPr>
          <w:spacing w:val="-12"/>
          <w:sz w:val="24"/>
        </w:rPr>
        <w:t> </w:t>
      </w:r>
      <w:r>
        <w:rPr>
          <w:sz w:val="24"/>
        </w:rPr>
        <w:t>990</w:t>
      </w:r>
      <w:r>
        <w:rPr>
          <w:spacing w:val="-14"/>
          <w:sz w:val="24"/>
        </w:rPr>
        <w:t> </w:t>
      </w:r>
      <w:r>
        <w:rPr>
          <w:sz w:val="24"/>
        </w:rPr>
        <w:t>2013-2014</w:t>
      </w:r>
      <w:r>
        <w:rPr>
          <w:spacing w:val="-12"/>
          <w:sz w:val="24"/>
        </w:rPr>
        <w:t> </w:t>
      </w:r>
      <w:r>
        <w:rPr>
          <w:sz w:val="24"/>
        </w:rPr>
        <w:t>to</w:t>
      </w:r>
      <w:r>
        <w:rPr>
          <w:spacing w:val="-12"/>
          <w:sz w:val="24"/>
        </w:rPr>
        <w:t> </w:t>
      </w:r>
      <w:r>
        <w:rPr>
          <w:sz w:val="24"/>
        </w:rPr>
        <w:t>ASBCS</w:t>
      </w:r>
      <w:r>
        <w:rPr>
          <w:spacing w:val="-12"/>
          <w:sz w:val="24"/>
        </w:rPr>
        <w:t> </w:t>
      </w:r>
      <w:r>
        <w:rPr>
          <w:sz w:val="24"/>
        </w:rPr>
        <w:t>Audit</w:t>
      </w:r>
      <w:r>
        <w:rPr>
          <w:spacing w:val="-13"/>
          <w:sz w:val="24"/>
        </w:rPr>
        <w:t> </w:t>
      </w:r>
      <w:r>
        <w:rPr>
          <w:sz w:val="24"/>
        </w:rPr>
        <w:t>2013-2014.</w:t>
      </w:r>
      <w:r>
        <w:rPr>
          <w:spacing w:val="-12"/>
          <w:sz w:val="24"/>
        </w:rPr>
        <w:t> </w:t>
      </w:r>
      <w:r>
        <w:rPr>
          <w:sz w:val="24"/>
        </w:rPr>
        <w:t>Examples</w:t>
      </w:r>
      <w:r>
        <w:rPr>
          <w:spacing w:val="-14"/>
          <w:sz w:val="24"/>
        </w:rPr>
        <w:t> </w:t>
      </w:r>
      <w:r>
        <w:rPr>
          <w:sz w:val="24"/>
        </w:rPr>
        <w:t>of</w:t>
      </w:r>
      <w:r>
        <w:rPr>
          <w:spacing w:val="-10"/>
          <w:sz w:val="24"/>
        </w:rPr>
        <w:t> </w:t>
      </w:r>
      <w:r>
        <w:rPr>
          <w:sz w:val="24"/>
        </w:rPr>
        <w:t>these reports</w:t>
      </w:r>
      <w:r>
        <w:rPr>
          <w:spacing w:val="-12"/>
          <w:sz w:val="24"/>
        </w:rPr>
        <w:t> </w:t>
      </w:r>
      <w:r>
        <w:rPr>
          <w:sz w:val="24"/>
        </w:rPr>
        <w:t>and</w:t>
      </w:r>
      <w:r>
        <w:rPr>
          <w:spacing w:val="-11"/>
          <w:sz w:val="24"/>
        </w:rPr>
        <w:t> </w:t>
      </w:r>
      <w:r>
        <w:rPr>
          <w:sz w:val="24"/>
        </w:rPr>
        <w:t>how</w:t>
      </w:r>
      <w:r>
        <w:rPr>
          <w:spacing w:val="-14"/>
          <w:sz w:val="24"/>
        </w:rPr>
        <w:t> </w:t>
      </w:r>
      <w:r>
        <w:rPr>
          <w:sz w:val="24"/>
        </w:rPr>
        <w:t>they</w:t>
      </w:r>
      <w:r>
        <w:rPr>
          <w:spacing w:val="-14"/>
          <w:sz w:val="24"/>
        </w:rPr>
        <w:t> </w:t>
      </w:r>
      <w:r>
        <w:rPr>
          <w:sz w:val="24"/>
        </w:rPr>
        <w:t>are</w:t>
      </w:r>
      <w:r>
        <w:rPr>
          <w:spacing w:val="-11"/>
          <w:sz w:val="24"/>
        </w:rPr>
        <w:t> </w:t>
      </w:r>
      <w:r>
        <w:rPr>
          <w:sz w:val="24"/>
        </w:rPr>
        <w:t>displayed</w:t>
      </w:r>
      <w:r>
        <w:rPr>
          <w:spacing w:val="-11"/>
          <w:sz w:val="24"/>
        </w:rPr>
        <w:t> </w:t>
      </w:r>
      <w:r>
        <w:rPr>
          <w:sz w:val="24"/>
        </w:rPr>
        <w:t>in</w:t>
      </w:r>
      <w:r>
        <w:rPr>
          <w:spacing w:val="-11"/>
          <w:sz w:val="24"/>
        </w:rPr>
        <w:t> </w:t>
      </w:r>
      <w:r>
        <w:rPr>
          <w:sz w:val="24"/>
        </w:rPr>
        <w:t>the</w:t>
      </w:r>
      <w:r>
        <w:rPr>
          <w:spacing w:val="-11"/>
          <w:sz w:val="24"/>
        </w:rPr>
        <w:t> </w:t>
      </w:r>
      <w:r>
        <w:rPr>
          <w:sz w:val="24"/>
        </w:rPr>
        <w:t>dataset</w:t>
      </w:r>
      <w:r>
        <w:rPr>
          <w:spacing w:val="-11"/>
          <w:sz w:val="24"/>
        </w:rPr>
        <w:t> </w:t>
      </w:r>
      <w:r>
        <w:rPr>
          <w:sz w:val="24"/>
        </w:rPr>
        <w:t>are</w:t>
      </w:r>
      <w:r>
        <w:rPr>
          <w:spacing w:val="-11"/>
          <w:sz w:val="24"/>
        </w:rPr>
        <w:t> </w:t>
      </w:r>
      <w:r>
        <w:rPr>
          <w:sz w:val="24"/>
        </w:rPr>
        <w:t>included</w:t>
      </w:r>
      <w:r>
        <w:rPr>
          <w:spacing w:val="-13"/>
          <w:sz w:val="24"/>
        </w:rPr>
        <w:t> </w:t>
      </w:r>
      <w:r>
        <w:rPr>
          <w:sz w:val="24"/>
        </w:rPr>
        <w:t>on</w:t>
      </w:r>
      <w:r>
        <w:rPr>
          <w:spacing w:val="-11"/>
          <w:sz w:val="24"/>
        </w:rPr>
        <w:t> </w:t>
      </w:r>
      <w:r>
        <w:rPr>
          <w:sz w:val="24"/>
        </w:rPr>
        <w:t>the</w:t>
      </w:r>
      <w:r>
        <w:rPr>
          <w:spacing w:val="-13"/>
          <w:sz w:val="24"/>
        </w:rPr>
        <w:t> </w:t>
      </w:r>
      <w:r>
        <w:rPr>
          <w:sz w:val="24"/>
        </w:rPr>
        <w:t>following</w:t>
      </w:r>
      <w:r>
        <w:rPr>
          <w:spacing w:val="-13"/>
          <w:sz w:val="24"/>
        </w:rPr>
        <w:t> </w:t>
      </w:r>
      <w:r>
        <w:rPr>
          <w:sz w:val="24"/>
        </w:rPr>
        <w:t>page.</w:t>
      </w:r>
      <w:r>
        <w:rPr>
          <w:spacing w:val="-3"/>
          <w:sz w:val="24"/>
        </w:rPr>
        <w:t> </w:t>
      </w:r>
      <w:r>
        <w:rPr>
          <w:i/>
          <w:sz w:val="24"/>
        </w:rPr>
        <w:t>The </w:t>
      </w:r>
      <w:r>
        <w:rPr>
          <w:i/>
          <w:sz w:val="24"/>
        </w:rPr>
        <w:t>analysis was done for EVERY charter. (Included in the data set which will be publically available.)</w:t>
      </w:r>
    </w:p>
    <w:p>
      <w:pPr>
        <w:pStyle w:val="BodyText"/>
        <w:spacing w:before="204"/>
        <w:ind w:left="120"/>
        <w:jc w:val="both"/>
      </w:pPr>
      <w:r>
        <w:rPr/>
        <w:t>Three additional examples follow.</w:t>
      </w:r>
    </w:p>
    <w:p>
      <w:pPr>
        <w:pStyle w:val="BodyText"/>
        <w:rPr>
          <w:sz w:val="20"/>
        </w:rPr>
      </w:pPr>
    </w:p>
    <w:p>
      <w:pPr>
        <w:pStyle w:val="BodyText"/>
        <w:rPr>
          <w:sz w:val="20"/>
        </w:rPr>
      </w:pPr>
    </w:p>
    <w:p>
      <w:pPr>
        <w:pStyle w:val="BodyText"/>
        <w:rPr>
          <w:sz w:val="20"/>
        </w:rPr>
      </w:pPr>
    </w:p>
    <w:p>
      <w:pPr>
        <w:pStyle w:val="BodyText"/>
        <w:rPr>
          <w:sz w:val="17"/>
        </w:rPr>
      </w:pPr>
      <w:r>
        <w:rPr/>
        <w:pict>
          <v:line style="position:absolute;mso-position-horizontal-relative:page;mso-position-vertical-relative:paragraph;z-index:2512;mso-wrap-distance-left:0;mso-wrap-distance-right:0" from="72pt,12.124009pt" to="216pt,12.124009pt" stroked="true" strokeweight=".72pt" strokecolor="#000000">
            <v:stroke dashstyle="solid"/>
            <w10:wrap type="topAndBottom"/>
          </v:line>
        </w:pict>
      </w:r>
    </w:p>
    <w:p>
      <w:pPr>
        <w:spacing w:before="53"/>
        <w:ind w:left="120" w:right="158" w:firstLine="0"/>
        <w:jc w:val="both"/>
        <w:rPr>
          <w:rFonts w:ascii="Calibri"/>
          <w:sz w:val="20"/>
        </w:rPr>
      </w:pPr>
      <w:bookmarkStart w:name="_bookmark69" w:id="70"/>
      <w:bookmarkEnd w:id="70"/>
      <w:r>
        <w:rPr/>
      </w:r>
      <w:r>
        <w:rPr>
          <w:rFonts w:ascii="Calibri"/>
          <w:position w:val="7"/>
          <w:sz w:val="13"/>
        </w:rPr>
        <w:t>26 </w:t>
      </w:r>
      <w:r>
        <w:rPr>
          <w:rFonts w:ascii="Calibri"/>
          <w:sz w:val="20"/>
        </w:rPr>
        <w:t>The 2015-2016 audit for Crown Charter School is found on the ASBCS' website. Their 2015-2016 AFR is located at the ADE web site.</w:t>
      </w:r>
    </w:p>
    <w:p>
      <w:pPr>
        <w:spacing w:after="0"/>
        <w:jc w:val="both"/>
        <w:rPr>
          <w:rFonts w:ascii="Calibri"/>
          <w:sz w:val="20"/>
        </w:rPr>
        <w:sectPr>
          <w:pgSz w:w="12240" w:h="15840"/>
          <w:pgMar w:header="740" w:footer="978" w:top="940" w:bottom="1200" w:left="1320" w:right="1320"/>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8"/>
        <w:rPr>
          <w:rFonts w:ascii="Calibri"/>
          <w:sz w:val="21"/>
        </w:rPr>
      </w:pPr>
    </w:p>
    <w:p>
      <w:pPr>
        <w:pStyle w:val="BodyText"/>
        <w:spacing w:line="276" w:lineRule="auto"/>
        <w:ind w:left="240" w:right="95"/>
      </w:pPr>
      <w:r>
        <w:rPr>
          <w:b/>
        </w:rPr>
        <w:t>Good Reporting Consistency</w:t>
      </w:r>
      <w:r>
        <w:rPr/>
        <w:t>: Almost full congruence between reports (including perfect match between IRS 990 and ASBCS audit): New School for the Arts (matches with IRS (commonly seen in the data)), close to matching with ASBCS ad ADE (rarely seen in the data). This report shows excellent correlation.</w:t>
      </w:r>
    </w:p>
    <w:p>
      <w:pPr>
        <w:pStyle w:val="BodyText"/>
        <w:rPr>
          <w:sz w:val="18"/>
        </w:rPr>
      </w:pPr>
    </w:p>
    <w:tbl>
      <w:tblPr>
        <w:tblW w:w="0" w:type="auto"/>
        <w:jc w:val="left"/>
        <w:tblInd w:w="2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491"/>
        <w:gridCol w:w="4501"/>
      </w:tblGrid>
      <w:tr>
        <w:trPr>
          <w:trHeight w:val="340" w:hRule="atLeast"/>
        </w:trPr>
        <w:tc>
          <w:tcPr>
            <w:tcW w:w="4491" w:type="dxa"/>
            <w:shd w:val="clear" w:color="auto" w:fill="CCFF66"/>
          </w:tcPr>
          <w:p>
            <w:pPr>
              <w:pStyle w:val="TableParagraph"/>
              <w:spacing w:line="202" w:lineRule="exact" w:before="117"/>
              <w:ind w:left="254"/>
              <w:jc w:val="left"/>
              <w:rPr>
                <w:b/>
                <w:sz w:val="18"/>
              </w:rPr>
            </w:pPr>
            <w:r>
              <w:rPr>
                <w:b/>
                <w:sz w:val="18"/>
              </w:rPr>
              <w:t>ASBCS and ADE Reports are Close to a Match</w:t>
            </w:r>
          </w:p>
        </w:tc>
        <w:tc>
          <w:tcPr>
            <w:tcW w:w="4501" w:type="dxa"/>
            <w:shd w:val="clear" w:color="auto" w:fill="CCFF66"/>
          </w:tcPr>
          <w:p>
            <w:pPr>
              <w:pStyle w:val="TableParagraph"/>
              <w:spacing w:line="202" w:lineRule="exact" w:before="117"/>
              <w:ind w:left="216" w:right="217"/>
              <w:rPr>
                <w:b/>
                <w:sz w:val="18"/>
              </w:rPr>
            </w:pPr>
            <w:r>
              <w:rPr>
                <w:b/>
                <w:sz w:val="18"/>
              </w:rPr>
              <w:t>ASBCS and ADE Reports are Close to a Match</w:t>
            </w:r>
          </w:p>
        </w:tc>
      </w:tr>
      <w:tr>
        <w:trPr>
          <w:trHeight w:val="340" w:hRule="atLeast"/>
        </w:trPr>
        <w:tc>
          <w:tcPr>
            <w:tcW w:w="4491" w:type="dxa"/>
            <w:tcBorders>
              <w:bottom w:val="nil"/>
            </w:tcBorders>
            <w:shd w:val="clear" w:color="auto" w:fill="E7E6E6"/>
          </w:tcPr>
          <w:p>
            <w:pPr>
              <w:pStyle w:val="TableParagraph"/>
              <w:spacing w:before="96"/>
              <w:ind w:left="314"/>
              <w:jc w:val="left"/>
              <w:rPr>
                <w:b/>
                <w:sz w:val="18"/>
              </w:rPr>
            </w:pPr>
            <w:r>
              <w:rPr>
                <w:b/>
                <w:sz w:val="18"/>
              </w:rPr>
              <w:t>Reported End of Year Assets to ADE 2014-15</w:t>
            </w:r>
          </w:p>
        </w:tc>
        <w:tc>
          <w:tcPr>
            <w:tcW w:w="4501" w:type="dxa"/>
            <w:tcBorders>
              <w:bottom w:val="nil"/>
            </w:tcBorders>
            <w:shd w:val="clear" w:color="auto" w:fill="E7E6E6"/>
          </w:tcPr>
          <w:p>
            <w:pPr>
              <w:pStyle w:val="TableParagraph"/>
              <w:spacing w:before="96"/>
              <w:ind w:left="217" w:right="217"/>
              <w:rPr>
                <w:b/>
                <w:sz w:val="18"/>
              </w:rPr>
            </w:pPr>
            <w:r>
              <w:rPr>
                <w:b/>
                <w:sz w:val="18"/>
              </w:rPr>
              <w:t>Revenue Less Expenses for FY 14-15 ADE</w:t>
            </w:r>
          </w:p>
        </w:tc>
      </w:tr>
      <w:tr>
        <w:trPr>
          <w:trHeight w:val="300" w:hRule="atLeast"/>
        </w:trPr>
        <w:tc>
          <w:tcPr>
            <w:tcW w:w="4491" w:type="dxa"/>
            <w:tcBorders>
              <w:top w:val="nil"/>
              <w:bottom w:val="nil"/>
            </w:tcBorders>
            <w:shd w:val="clear" w:color="auto" w:fill="E7E6E6"/>
          </w:tcPr>
          <w:p>
            <w:pPr>
              <w:pStyle w:val="TableParagraph"/>
              <w:spacing w:before="48"/>
              <w:ind w:left="1714" w:right="1714"/>
              <w:rPr>
                <w:b/>
                <w:sz w:val="18"/>
              </w:rPr>
            </w:pPr>
            <w:r>
              <w:rPr>
                <w:b/>
                <w:sz w:val="18"/>
              </w:rPr>
              <w:t>$133,537.00</w:t>
            </w:r>
          </w:p>
        </w:tc>
        <w:tc>
          <w:tcPr>
            <w:tcW w:w="4501" w:type="dxa"/>
            <w:tcBorders>
              <w:top w:val="nil"/>
              <w:bottom w:val="nil"/>
            </w:tcBorders>
            <w:shd w:val="clear" w:color="auto" w:fill="E7E6E6"/>
          </w:tcPr>
          <w:p>
            <w:pPr>
              <w:pStyle w:val="TableParagraph"/>
              <w:spacing w:before="48"/>
              <w:ind w:left="217" w:right="217"/>
              <w:rPr>
                <w:b/>
                <w:sz w:val="18"/>
              </w:rPr>
            </w:pPr>
            <w:r>
              <w:rPr>
                <w:b/>
                <w:sz w:val="18"/>
              </w:rPr>
              <w:t>$12,760.00</w:t>
            </w:r>
          </w:p>
        </w:tc>
      </w:tr>
      <w:tr>
        <w:trPr>
          <w:trHeight w:val="280" w:hRule="atLeast"/>
        </w:trPr>
        <w:tc>
          <w:tcPr>
            <w:tcW w:w="4491" w:type="dxa"/>
            <w:tcBorders>
              <w:top w:val="nil"/>
              <w:bottom w:val="nil"/>
            </w:tcBorders>
            <w:shd w:val="clear" w:color="auto" w:fill="E7E6E6"/>
          </w:tcPr>
          <w:p>
            <w:pPr>
              <w:pStyle w:val="TableParagraph"/>
              <w:spacing w:before="43"/>
              <w:ind w:left="189"/>
              <w:jc w:val="left"/>
              <w:rPr>
                <w:b/>
                <w:sz w:val="18"/>
              </w:rPr>
            </w:pPr>
            <w:r>
              <w:rPr>
                <w:b/>
                <w:sz w:val="18"/>
              </w:rPr>
              <w:t>Reported End of Year Assets to ASBCS 2014-15</w:t>
            </w:r>
          </w:p>
        </w:tc>
        <w:tc>
          <w:tcPr>
            <w:tcW w:w="4501" w:type="dxa"/>
            <w:tcBorders>
              <w:top w:val="nil"/>
              <w:bottom w:val="nil"/>
            </w:tcBorders>
            <w:shd w:val="clear" w:color="auto" w:fill="E7E6E6"/>
          </w:tcPr>
          <w:p>
            <w:pPr>
              <w:pStyle w:val="TableParagraph"/>
              <w:spacing w:before="43"/>
              <w:ind w:left="219" w:right="215"/>
              <w:rPr>
                <w:b/>
                <w:sz w:val="18"/>
              </w:rPr>
            </w:pPr>
            <w:r>
              <w:rPr>
                <w:b/>
                <w:sz w:val="18"/>
              </w:rPr>
              <w:t>Revenue Less Expenses ASBCS Audit 2014-15</w:t>
            </w:r>
          </w:p>
        </w:tc>
      </w:tr>
      <w:tr>
        <w:trPr>
          <w:trHeight w:val="260" w:hRule="atLeast"/>
        </w:trPr>
        <w:tc>
          <w:tcPr>
            <w:tcW w:w="4491" w:type="dxa"/>
            <w:tcBorders>
              <w:top w:val="nil"/>
            </w:tcBorders>
            <w:shd w:val="clear" w:color="auto" w:fill="E7E6E6"/>
          </w:tcPr>
          <w:p>
            <w:pPr>
              <w:pStyle w:val="TableParagraph"/>
              <w:spacing w:line="204" w:lineRule="exact" w:before="38"/>
              <w:ind w:left="1714" w:right="1714"/>
              <w:rPr>
                <w:b/>
                <w:sz w:val="18"/>
              </w:rPr>
            </w:pPr>
            <w:r>
              <w:rPr>
                <w:b/>
                <w:sz w:val="18"/>
              </w:rPr>
              <w:t>$123,890.00</w:t>
            </w:r>
          </w:p>
        </w:tc>
        <w:tc>
          <w:tcPr>
            <w:tcW w:w="4501" w:type="dxa"/>
            <w:tcBorders>
              <w:top w:val="nil"/>
            </w:tcBorders>
            <w:shd w:val="clear" w:color="auto" w:fill="E7E6E6"/>
          </w:tcPr>
          <w:p>
            <w:pPr>
              <w:pStyle w:val="TableParagraph"/>
              <w:spacing w:line="204" w:lineRule="exact" w:before="38"/>
              <w:ind w:left="217" w:right="217"/>
              <w:rPr>
                <w:b/>
                <w:sz w:val="18"/>
              </w:rPr>
            </w:pPr>
            <w:r>
              <w:rPr>
                <w:b/>
                <w:sz w:val="18"/>
              </w:rPr>
              <w:t>$13,703.00</w:t>
            </w:r>
          </w:p>
        </w:tc>
      </w:tr>
      <w:tr>
        <w:trPr>
          <w:trHeight w:val="460" w:hRule="atLeast"/>
        </w:trPr>
        <w:tc>
          <w:tcPr>
            <w:tcW w:w="4491" w:type="dxa"/>
            <w:tcBorders>
              <w:bottom w:val="nil"/>
            </w:tcBorders>
            <w:shd w:val="clear" w:color="auto" w:fill="FBE3D5"/>
          </w:tcPr>
          <w:p>
            <w:pPr>
              <w:pStyle w:val="TableParagraph"/>
              <w:spacing w:line="242" w:lineRule="auto"/>
              <w:ind w:left="1905" w:right="284" w:hanging="1623"/>
              <w:jc w:val="left"/>
              <w:rPr>
                <w:b/>
                <w:sz w:val="18"/>
              </w:rPr>
            </w:pPr>
            <w:r>
              <w:rPr>
                <w:b/>
                <w:sz w:val="18"/>
              </w:rPr>
              <w:t>Reported End of Year Assets to IRS Form 990 2013-14</w:t>
            </w:r>
          </w:p>
        </w:tc>
        <w:tc>
          <w:tcPr>
            <w:tcW w:w="4501" w:type="dxa"/>
            <w:tcBorders>
              <w:bottom w:val="nil"/>
            </w:tcBorders>
            <w:shd w:val="clear" w:color="auto" w:fill="FBE3D5"/>
          </w:tcPr>
          <w:p>
            <w:pPr>
              <w:pStyle w:val="TableParagraph"/>
              <w:spacing w:line="242" w:lineRule="auto"/>
              <w:ind w:left="2140" w:right="127" w:hanging="1998"/>
              <w:jc w:val="left"/>
              <w:rPr>
                <w:b/>
                <w:sz w:val="18"/>
              </w:rPr>
            </w:pPr>
            <w:r>
              <w:rPr>
                <w:b/>
                <w:sz w:val="18"/>
              </w:rPr>
              <w:t>Revenue Less Expenses from Form 990 FY 2013- 14</w:t>
            </w:r>
          </w:p>
        </w:tc>
      </w:tr>
      <w:tr>
        <w:trPr>
          <w:trHeight w:val="300" w:hRule="atLeast"/>
        </w:trPr>
        <w:tc>
          <w:tcPr>
            <w:tcW w:w="4491" w:type="dxa"/>
            <w:tcBorders>
              <w:top w:val="nil"/>
              <w:bottom w:val="nil"/>
            </w:tcBorders>
            <w:shd w:val="clear" w:color="auto" w:fill="FBE3D5"/>
          </w:tcPr>
          <w:p>
            <w:pPr>
              <w:pStyle w:val="TableParagraph"/>
              <w:spacing w:before="44"/>
              <w:ind w:left="1714" w:right="1714"/>
              <w:rPr>
                <w:b/>
                <w:sz w:val="18"/>
              </w:rPr>
            </w:pPr>
            <w:r>
              <w:rPr>
                <w:b/>
                <w:sz w:val="18"/>
              </w:rPr>
              <w:t>$110,187.00</w:t>
            </w:r>
          </w:p>
        </w:tc>
        <w:tc>
          <w:tcPr>
            <w:tcW w:w="4501" w:type="dxa"/>
            <w:tcBorders>
              <w:top w:val="nil"/>
              <w:bottom w:val="nil"/>
            </w:tcBorders>
            <w:shd w:val="clear" w:color="auto" w:fill="FBE3D5"/>
          </w:tcPr>
          <w:p>
            <w:pPr>
              <w:pStyle w:val="TableParagraph"/>
              <w:spacing w:before="44"/>
              <w:ind w:left="217" w:right="217"/>
              <w:rPr>
                <w:b/>
                <w:sz w:val="18"/>
              </w:rPr>
            </w:pPr>
            <w:r>
              <w:rPr>
                <w:b/>
                <w:sz w:val="18"/>
              </w:rPr>
              <w:t>$55,902.00</w:t>
            </w:r>
          </w:p>
        </w:tc>
      </w:tr>
      <w:tr>
        <w:trPr>
          <w:trHeight w:val="280" w:hRule="atLeast"/>
        </w:trPr>
        <w:tc>
          <w:tcPr>
            <w:tcW w:w="4491" w:type="dxa"/>
            <w:tcBorders>
              <w:top w:val="nil"/>
              <w:bottom w:val="nil"/>
            </w:tcBorders>
            <w:shd w:val="clear" w:color="auto" w:fill="FBE3D5"/>
          </w:tcPr>
          <w:p>
            <w:pPr>
              <w:pStyle w:val="TableParagraph"/>
              <w:spacing w:before="43"/>
              <w:ind w:left="189"/>
              <w:jc w:val="left"/>
              <w:rPr>
                <w:b/>
                <w:sz w:val="18"/>
              </w:rPr>
            </w:pPr>
            <w:r>
              <w:rPr>
                <w:b/>
                <w:sz w:val="18"/>
              </w:rPr>
              <w:t>Reported End of Year Assets to ASBCS 2013-14</w:t>
            </w:r>
          </w:p>
        </w:tc>
        <w:tc>
          <w:tcPr>
            <w:tcW w:w="4501" w:type="dxa"/>
            <w:tcBorders>
              <w:top w:val="nil"/>
              <w:bottom w:val="nil"/>
            </w:tcBorders>
            <w:shd w:val="clear" w:color="auto" w:fill="FBE3D5"/>
          </w:tcPr>
          <w:p>
            <w:pPr>
              <w:pStyle w:val="TableParagraph"/>
              <w:spacing w:before="43"/>
              <w:ind w:left="219" w:right="215"/>
              <w:rPr>
                <w:b/>
                <w:sz w:val="18"/>
              </w:rPr>
            </w:pPr>
            <w:r>
              <w:rPr>
                <w:b/>
                <w:sz w:val="18"/>
              </w:rPr>
              <w:t>Revenue Less Expenses ASBCS Audit 2013-14</w:t>
            </w:r>
          </w:p>
        </w:tc>
      </w:tr>
      <w:tr>
        <w:trPr>
          <w:trHeight w:val="260" w:hRule="atLeast"/>
        </w:trPr>
        <w:tc>
          <w:tcPr>
            <w:tcW w:w="4491" w:type="dxa"/>
            <w:tcBorders>
              <w:top w:val="nil"/>
            </w:tcBorders>
            <w:shd w:val="clear" w:color="auto" w:fill="FBE3D5"/>
          </w:tcPr>
          <w:p>
            <w:pPr>
              <w:pStyle w:val="TableParagraph"/>
              <w:spacing w:line="205" w:lineRule="exact" w:before="38"/>
              <w:ind w:left="1714" w:right="1714"/>
              <w:rPr>
                <w:b/>
                <w:sz w:val="18"/>
              </w:rPr>
            </w:pPr>
            <w:r>
              <w:rPr>
                <w:b/>
                <w:sz w:val="18"/>
              </w:rPr>
              <w:t>$110,187.00</w:t>
            </w:r>
          </w:p>
        </w:tc>
        <w:tc>
          <w:tcPr>
            <w:tcW w:w="4501" w:type="dxa"/>
            <w:tcBorders>
              <w:top w:val="nil"/>
            </w:tcBorders>
            <w:shd w:val="clear" w:color="auto" w:fill="FBE3D5"/>
          </w:tcPr>
          <w:p>
            <w:pPr>
              <w:pStyle w:val="TableParagraph"/>
              <w:spacing w:line="205" w:lineRule="exact" w:before="38"/>
              <w:ind w:left="217" w:right="217"/>
              <w:rPr>
                <w:b/>
                <w:sz w:val="18"/>
              </w:rPr>
            </w:pPr>
            <w:r>
              <w:rPr>
                <w:b/>
                <w:sz w:val="18"/>
              </w:rPr>
              <w:t>$55,902.00</w:t>
            </w:r>
          </w:p>
        </w:tc>
      </w:tr>
      <w:tr>
        <w:trPr>
          <w:trHeight w:val="300" w:hRule="atLeast"/>
        </w:trPr>
        <w:tc>
          <w:tcPr>
            <w:tcW w:w="4491" w:type="dxa"/>
            <w:shd w:val="clear" w:color="auto" w:fill="00FF00"/>
          </w:tcPr>
          <w:p>
            <w:pPr>
              <w:pStyle w:val="TableParagraph"/>
              <w:spacing w:line="194" w:lineRule="exact" w:before="86"/>
              <w:ind w:left="909"/>
              <w:jc w:val="left"/>
              <w:rPr>
                <w:b/>
                <w:sz w:val="18"/>
              </w:rPr>
            </w:pPr>
            <w:r>
              <w:rPr>
                <w:b/>
                <w:sz w:val="18"/>
              </w:rPr>
              <w:t>ASBCS and IRS Reports Match</w:t>
            </w:r>
          </w:p>
        </w:tc>
        <w:tc>
          <w:tcPr>
            <w:tcW w:w="4501" w:type="dxa"/>
            <w:shd w:val="clear" w:color="auto" w:fill="00FF00"/>
          </w:tcPr>
          <w:p>
            <w:pPr>
              <w:pStyle w:val="TableParagraph"/>
              <w:spacing w:line="194" w:lineRule="exact" w:before="86"/>
              <w:ind w:left="217" w:right="217"/>
              <w:rPr>
                <w:b/>
                <w:sz w:val="18"/>
              </w:rPr>
            </w:pPr>
            <w:r>
              <w:rPr>
                <w:b/>
                <w:sz w:val="18"/>
              </w:rPr>
              <w:t>ASBCS and IRS Reports Match</w:t>
            </w:r>
          </w:p>
        </w:tc>
      </w:tr>
    </w:tbl>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23"/>
        </w:rPr>
      </w:pPr>
    </w:p>
    <w:p>
      <w:pPr>
        <w:pStyle w:val="BodyText"/>
        <w:spacing w:line="278" w:lineRule="auto"/>
        <w:ind w:left="240" w:right="376"/>
      </w:pPr>
      <w:r>
        <w:rPr>
          <w:b/>
        </w:rPr>
        <w:t>Bad Reporting Consistency</w:t>
      </w:r>
      <w:r>
        <w:rPr/>
        <w:t>: Example of Modest Incongruence between Reports: Presidio School (This type of bad consistency is commonly seen in the data)</w:t>
      </w:r>
    </w:p>
    <w:p>
      <w:pPr>
        <w:pStyle w:val="BodyText"/>
        <w:spacing w:before="6" w:after="1"/>
        <w:rPr>
          <w:sz w:val="17"/>
        </w:rPr>
      </w:pPr>
    </w:p>
    <w:tbl>
      <w:tblPr>
        <w:tblW w:w="0" w:type="auto"/>
        <w:jc w:val="left"/>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640"/>
        <w:gridCol w:w="4482"/>
      </w:tblGrid>
      <w:tr>
        <w:trPr>
          <w:trHeight w:val="380" w:hRule="atLeast"/>
        </w:trPr>
        <w:tc>
          <w:tcPr>
            <w:tcW w:w="4640" w:type="dxa"/>
            <w:shd w:val="clear" w:color="auto" w:fill="FFFF00"/>
          </w:tcPr>
          <w:p>
            <w:pPr>
              <w:pStyle w:val="TableParagraph"/>
              <w:spacing w:line="190" w:lineRule="exact" w:before="12"/>
              <w:ind w:left="1939" w:right="340" w:hanging="1580"/>
              <w:jc w:val="left"/>
              <w:rPr>
                <w:b/>
                <w:sz w:val="18"/>
              </w:rPr>
            </w:pPr>
            <w:r>
              <w:rPr>
                <w:b/>
                <w:sz w:val="18"/>
              </w:rPr>
              <w:t>Disparity Between ADE and ASBCS report for FY 14-15</w:t>
            </w:r>
          </w:p>
        </w:tc>
        <w:tc>
          <w:tcPr>
            <w:tcW w:w="4482" w:type="dxa"/>
            <w:shd w:val="clear" w:color="auto" w:fill="FFFF00"/>
          </w:tcPr>
          <w:p>
            <w:pPr>
              <w:pStyle w:val="TableParagraph"/>
              <w:spacing w:line="190" w:lineRule="exact" w:before="12"/>
              <w:ind w:left="1860" w:right="211" w:hanging="1630"/>
              <w:jc w:val="left"/>
              <w:rPr>
                <w:b/>
                <w:sz w:val="18"/>
              </w:rPr>
            </w:pPr>
            <w:r>
              <w:rPr>
                <w:b/>
                <w:sz w:val="18"/>
              </w:rPr>
              <w:t>Disparity Between ADE and ASBCS reports for FY 14-15</w:t>
            </w:r>
          </w:p>
        </w:tc>
      </w:tr>
      <w:tr>
        <w:trPr>
          <w:trHeight w:val="320" w:hRule="atLeast"/>
        </w:trPr>
        <w:tc>
          <w:tcPr>
            <w:tcW w:w="4640" w:type="dxa"/>
            <w:tcBorders>
              <w:bottom w:val="nil"/>
            </w:tcBorders>
            <w:shd w:val="clear" w:color="auto" w:fill="E7E6E6"/>
          </w:tcPr>
          <w:p>
            <w:pPr>
              <w:pStyle w:val="TableParagraph"/>
              <w:spacing w:before="81"/>
              <w:ind w:left="235" w:right="233"/>
              <w:rPr>
                <w:b/>
                <w:sz w:val="18"/>
              </w:rPr>
            </w:pPr>
            <w:r>
              <w:rPr>
                <w:b/>
                <w:sz w:val="18"/>
              </w:rPr>
              <w:t>Reported End-of-Year Assets to ADE 2014-15</w:t>
            </w:r>
          </w:p>
        </w:tc>
        <w:tc>
          <w:tcPr>
            <w:tcW w:w="4482" w:type="dxa"/>
            <w:tcBorders>
              <w:bottom w:val="nil"/>
            </w:tcBorders>
            <w:shd w:val="clear" w:color="auto" w:fill="E7E6E6"/>
          </w:tcPr>
          <w:p>
            <w:pPr>
              <w:pStyle w:val="TableParagraph"/>
              <w:spacing w:before="81"/>
              <w:ind w:left="424"/>
              <w:jc w:val="left"/>
              <w:rPr>
                <w:b/>
                <w:sz w:val="18"/>
              </w:rPr>
            </w:pPr>
            <w:r>
              <w:rPr>
                <w:b/>
                <w:sz w:val="18"/>
              </w:rPr>
              <w:t>Revenue Less Expenses for FY 14-15 ADE</w:t>
            </w:r>
          </w:p>
        </w:tc>
      </w:tr>
      <w:tr>
        <w:trPr>
          <w:trHeight w:val="280" w:hRule="atLeast"/>
        </w:trPr>
        <w:tc>
          <w:tcPr>
            <w:tcW w:w="4640" w:type="dxa"/>
            <w:tcBorders>
              <w:top w:val="nil"/>
              <w:bottom w:val="nil"/>
            </w:tcBorders>
            <w:shd w:val="clear" w:color="auto" w:fill="E7E6E6"/>
          </w:tcPr>
          <w:p>
            <w:pPr>
              <w:pStyle w:val="TableParagraph"/>
              <w:spacing w:before="41"/>
              <w:ind w:left="233" w:right="233"/>
              <w:rPr>
                <w:b/>
                <w:sz w:val="18"/>
              </w:rPr>
            </w:pPr>
            <w:r>
              <w:rPr>
                <w:b/>
                <w:sz w:val="18"/>
              </w:rPr>
              <w:t>$1,111,191.00</w:t>
            </w:r>
          </w:p>
        </w:tc>
        <w:tc>
          <w:tcPr>
            <w:tcW w:w="4482" w:type="dxa"/>
            <w:tcBorders>
              <w:top w:val="nil"/>
              <w:bottom w:val="nil"/>
            </w:tcBorders>
            <w:shd w:val="clear" w:color="auto" w:fill="E7E6E6"/>
          </w:tcPr>
          <w:p>
            <w:pPr>
              <w:pStyle w:val="TableParagraph"/>
              <w:spacing w:before="41"/>
              <w:ind w:left="1680" w:right="1680"/>
              <w:rPr>
                <w:b/>
                <w:sz w:val="18"/>
              </w:rPr>
            </w:pPr>
            <w:r>
              <w:rPr>
                <w:b/>
                <w:sz w:val="18"/>
              </w:rPr>
              <w:t>$151,548.00</w:t>
            </w:r>
          </w:p>
        </w:tc>
      </w:tr>
      <w:tr>
        <w:trPr>
          <w:trHeight w:val="280" w:hRule="atLeast"/>
        </w:trPr>
        <w:tc>
          <w:tcPr>
            <w:tcW w:w="4640" w:type="dxa"/>
            <w:tcBorders>
              <w:top w:val="nil"/>
              <w:bottom w:val="nil"/>
            </w:tcBorders>
            <w:shd w:val="clear" w:color="auto" w:fill="E7E6E6"/>
          </w:tcPr>
          <w:p>
            <w:pPr>
              <w:pStyle w:val="TableParagraph"/>
              <w:spacing w:before="44"/>
              <w:ind w:left="235" w:right="233"/>
              <w:rPr>
                <w:b/>
                <w:sz w:val="18"/>
              </w:rPr>
            </w:pPr>
            <w:r>
              <w:rPr>
                <w:b/>
                <w:sz w:val="18"/>
              </w:rPr>
              <w:t>Reported End-of-Year Assets to ASBCS 2014-15</w:t>
            </w:r>
          </w:p>
        </w:tc>
        <w:tc>
          <w:tcPr>
            <w:tcW w:w="4482" w:type="dxa"/>
            <w:tcBorders>
              <w:top w:val="nil"/>
              <w:bottom w:val="nil"/>
            </w:tcBorders>
            <w:shd w:val="clear" w:color="auto" w:fill="E7E6E6"/>
          </w:tcPr>
          <w:p>
            <w:pPr>
              <w:pStyle w:val="TableParagraph"/>
              <w:spacing w:before="44"/>
              <w:ind w:right="225"/>
              <w:jc w:val="right"/>
              <w:rPr>
                <w:b/>
                <w:sz w:val="18"/>
              </w:rPr>
            </w:pPr>
            <w:r>
              <w:rPr>
                <w:b/>
                <w:sz w:val="18"/>
              </w:rPr>
              <w:t>Revenue Less Expenses ASBCS Audit 2014-15</w:t>
            </w:r>
          </w:p>
        </w:tc>
      </w:tr>
      <w:tr>
        <w:trPr>
          <w:trHeight w:val="260" w:hRule="atLeast"/>
        </w:trPr>
        <w:tc>
          <w:tcPr>
            <w:tcW w:w="4640" w:type="dxa"/>
            <w:tcBorders>
              <w:top w:val="nil"/>
            </w:tcBorders>
            <w:shd w:val="clear" w:color="auto" w:fill="E7E6E6"/>
          </w:tcPr>
          <w:p>
            <w:pPr>
              <w:pStyle w:val="TableParagraph"/>
              <w:spacing w:line="206" w:lineRule="exact" w:before="42"/>
              <w:ind w:left="233" w:right="233"/>
              <w:rPr>
                <w:b/>
                <w:sz w:val="18"/>
              </w:rPr>
            </w:pPr>
            <w:r>
              <w:rPr>
                <w:b/>
                <w:sz w:val="18"/>
              </w:rPr>
              <w:t>$1,823,971.00</w:t>
            </w:r>
          </w:p>
        </w:tc>
        <w:tc>
          <w:tcPr>
            <w:tcW w:w="4482" w:type="dxa"/>
            <w:tcBorders>
              <w:top w:val="nil"/>
            </w:tcBorders>
            <w:shd w:val="clear" w:color="auto" w:fill="E7E6E6"/>
          </w:tcPr>
          <w:p>
            <w:pPr>
              <w:pStyle w:val="TableParagraph"/>
              <w:spacing w:line="206" w:lineRule="exact" w:before="42"/>
              <w:ind w:left="1680" w:right="1680"/>
              <w:rPr>
                <w:b/>
                <w:sz w:val="18"/>
              </w:rPr>
            </w:pPr>
            <w:r>
              <w:rPr>
                <w:b/>
                <w:color w:val="FF0000"/>
                <w:sz w:val="18"/>
              </w:rPr>
              <w:t>-$145,064.00</w:t>
            </w:r>
          </w:p>
        </w:tc>
      </w:tr>
      <w:tr>
        <w:trPr>
          <w:trHeight w:val="440" w:hRule="atLeast"/>
        </w:trPr>
        <w:tc>
          <w:tcPr>
            <w:tcW w:w="4640" w:type="dxa"/>
            <w:tcBorders>
              <w:bottom w:val="nil"/>
            </w:tcBorders>
            <w:shd w:val="clear" w:color="auto" w:fill="FBE3D5"/>
          </w:tcPr>
          <w:p>
            <w:pPr>
              <w:pStyle w:val="TableParagraph"/>
              <w:ind w:left="1980" w:right="310" w:hanging="1673"/>
              <w:jc w:val="left"/>
              <w:rPr>
                <w:b/>
                <w:sz w:val="18"/>
              </w:rPr>
            </w:pPr>
            <w:r>
              <w:rPr>
                <w:b/>
                <w:sz w:val="18"/>
              </w:rPr>
              <w:t>Reported End-of-Year Assets to IRS FORM 990 2013-14</w:t>
            </w:r>
          </w:p>
        </w:tc>
        <w:tc>
          <w:tcPr>
            <w:tcW w:w="4482" w:type="dxa"/>
            <w:tcBorders>
              <w:bottom w:val="nil"/>
            </w:tcBorders>
            <w:shd w:val="clear" w:color="auto" w:fill="FBE3D5"/>
          </w:tcPr>
          <w:p>
            <w:pPr>
              <w:pStyle w:val="TableParagraph"/>
              <w:spacing w:before="9"/>
              <w:jc w:val="left"/>
              <w:rPr>
                <w:sz w:val="16"/>
              </w:rPr>
            </w:pPr>
          </w:p>
          <w:p>
            <w:pPr>
              <w:pStyle w:val="TableParagraph"/>
              <w:ind w:right="170"/>
              <w:jc w:val="right"/>
              <w:rPr>
                <w:b/>
                <w:sz w:val="18"/>
              </w:rPr>
            </w:pPr>
            <w:r>
              <w:rPr>
                <w:b/>
                <w:sz w:val="18"/>
              </w:rPr>
              <w:t>Revenue Less Expenses from Form 990 2013-14</w:t>
            </w:r>
          </w:p>
        </w:tc>
      </w:tr>
      <w:tr>
        <w:trPr>
          <w:trHeight w:val="280" w:hRule="atLeast"/>
        </w:trPr>
        <w:tc>
          <w:tcPr>
            <w:tcW w:w="4640" w:type="dxa"/>
            <w:tcBorders>
              <w:top w:val="nil"/>
              <w:bottom w:val="nil"/>
            </w:tcBorders>
            <w:shd w:val="clear" w:color="auto" w:fill="FBE3D5"/>
          </w:tcPr>
          <w:p>
            <w:pPr>
              <w:pStyle w:val="TableParagraph"/>
              <w:spacing w:before="31"/>
              <w:ind w:left="233" w:right="233"/>
              <w:rPr>
                <w:b/>
                <w:sz w:val="18"/>
              </w:rPr>
            </w:pPr>
            <w:r>
              <w:rPr>
                <w:b/>
                <w:sz w:val="18"/>
              </w:rPr>
              <w:t>$1,958,877.00</w:t>
            </w:r>
          </w:p>
        </w:tc>
        <w:tc>
          <w:tcPr>
            <w:tcW w:w="4482" w:type="dxa"/>
            <w:tcBorders>
              <w:top w:val="nil"/>
              <w:bottom w:val="nil"/>
            </w:tcBorders>
            <w:shd w:val="clear" w:color="auto" w:fill="FBE3D5"/>
          </w:tcPr>
          <w:p>
            <w:pPr>
              <w:pStyle w:val="TableParagraph"/>
              <w:spacing w:before="31"/>
              <w:ind w:left="1679" w:right="1680"/>
              <w:rPr>
                <w:b/>
                <w:sz w:val="18"/>
              </w:rPr>
            </w:pPr>
            <w:r>
              <w:rPr>
                <w:b/>
                <w:color w:val="FF0000"/>
                <w:sz w:val="18"/>
              </w:rPr>
              <w:t>-$41,177.00</w:t>
            </w:r>
          </w:p>
        </w:tc>
      </w:tr>
      <w:tr>
        <w:trPr>
          <w:trHeight w:val="280" w:hRule="atLeast"/>
        </w:trPr>
        <w:tc>
          <w:tcPr>
            <w:tcW w:w="4640" w:type="dxa"/>
            <w:tcBorders>
              <w:top w:val="nil"/>
              <w:bottom w:val="nil"/>
            </w:tcBorders>
            <w:shd w:val="clear" w:color="auto" w:fill="FBE3D5"/>
          </w:tcPr>
          <w:p>
            <w:pPr>
              <w:pStyle w:val="TableParagraph"/>
              <w:spacing w:before="43"/>
              <w:ind w:left="235" w:right="233"/>
              <w:rPr>
                <w:b/>
                <w:sz w:val="18"/>
              </w:rPr>
            </w:pPr>
            <w:r>
              <w:rPr>
                <w:b/>
                <w:sz w:val="18"/>
              </w:rPr>
              <w:t>Reported End-of-Year Assets to ASBCS 2013-14</w:t>
            </w:r>
          </w:p>
        </w:tc>
        <w:tc>
          <w:tcPr>
            <w:tcW w:w="4482" w:type="dxa"/>
            <w:tcBorders>
              <w:top w:val="nil"/>
              <w:bottom w:val="nil"/>
            </w:tcBorders>
            <w:shd w:val="clear" w:color="auto" w:fill="FBE3D5"/>
          </w:tcPr>
          <w:p>
            <w:pPr>
              <w:pStyle w:val="TableParagraph"/>
              <w:spacing w:before="43"/>
              <w:ind w:right="225"/>
              <w:jc w:val="right"/>
              <w:rPr>
                <w:b/>
                <w:sz w:val="18"/>
              </w:rPr>
            </w:pPr>
            <w:r>
              <w:rPr>
                <w:b/>
                <w:sz w:val="18"/>
              </w:rPr>
              <w:t>Revenue Less Expenses ASBCS Audit 2013-14</w:t>
            </w:r>
          </w:p>
        </w:tc>
      </w:tr>
      <w:tr>
        <w:trPr>
          <w:trHeight w:val="260" w:hRule="atLeast"/>
        </w:trPr>
        <w:tc>
          <w:tcPr>
            <w:tcW w:w="4640" w:type="dxa"/>
            <w:tcBorders>
              <w:top w:val="nil"/>
            </w:tcBorders>
            <w:shd w:val="clear" w:color="auto" w:fill="FBE3D5"/>
          </w:tcPr>
          <w:p>
            <w:pPr>
              <w:pStyle w:val="TableParagraph"/>
              <w:spacing w:line="206" w:lineRule="exact" w:before="42"/>
              <w:ind w:left="233" w:right="233"/>
              <w:rPr>
                <w:b/>
                <w:sz w:val="18"/>
              </w:rPr>
            </w:pPr>
            <w:r>
              <w:rPr>
                <w:b/>
                <w:sz w:val="18"/>
              </w:rPr>
              <w:t>$1,969,870.00</w:t>
            </w:r>
          </w:p>
        </w:tc>
        <w:tc>
          <w:tcPr>
            <w:tcW w:w="4482" w:type="dxa"/>
            <w:tcBorders>
              <w:top w:val="nil"/>
            </w:tcBorders>
            <w:shd w:val="clear" w:color="auto" w:fill="FBE3D5"/>
          </w:tcPr>
          <w:p>
            <w:pPr>
              <w:pStyle w:val="TableParagraph"/>
              <w:spacing w:line="206" w:lineRule="exact" w:before="42"/>
              <w:ind w:left="1679" w:right="1680"/>
              <w:rPr>
                <w:b/>
                <w:sz w:val="18"/>
              </w:rPr>
            </w:pPr>
            <w:r>
              <w:rPr>
                <w:b/>
                <w:color w:val="FF0000"/>
                <w:sz w:val="18"/>
              </w:rPr>
              <w:t>-$30,184.00</w:t>
            </w:r>
          </w:p>
        </w:tc>
      </w:tr>
      <w:tr>
        <w:trPr>
          <w:trHeight w:val="400" w:hRule="atLeast"/>
        </w:trPr>
        <w:tc>
          <w:tcPr>
            <w:tcW w:w="4640" w:type="dxa"/>
            <w:shd w:val="clear" w:color="auto" w:fill="00FF00"/>
          </w:tcPr>
          <w:p>
            <w:pPr>
              <w:pStyle w:val="TableParagraph"/>
              <w:spacing w:line="194" w:lineRule="exact" w:before="5"/>
              <w:ind w:left="2013" w:right="340" w:hanging="1654"/>
              <w:jc w:val="left"/>
              <w:rPr>
                <w:b/>
                <w:sz w:val="18"/>
              </w:rPr>
            </w:pPr>
            <w:r>
              <w:rPr>
                <w:b/>
                <w:sz w:val="18"/>
              </w:rPr>
              <w:t>Close Fidelity in Report to ASBCS and IRS on Assets</w:t>
            </w:r>
          </w:p>
        </w:tc>
        <w:tc>
          <w:tcPr>
            <w:tcW w:w="4482" w:type="dxa"/>
            <w:tcBorders>
              <w:right w:val="nil"/>
            </w:tcBorders>
            <w:shd w:val="clear" w:color="auto" w:fill="00FF00"/>
          </w:tcPr>
          <w:p>
            <w:pPr>
              <w:pStyle w:val="TableParagraph"/>
              <w:spacing w:line="194" w:lineRule="exact" w:before="5"/>
              <w:ind w:left="1934" w:right="274" w:hanging="1657"/>
              <w:jc w:val="left"/>
              <w:rPr>
                <w:b/>
                <w:sz w:val="18"/>
              </w:rPr>
            </w:pPr>
            <w:r>
              <w:rPr>
                <w:b/>
                <w:sz w:val="18"/>
              </w:rPr>
              <w:t>Close Fidelity in Report to ASBCS and IRS on Assets</w:t>
            </w:r>
          </w:p>
        </w:tc>
      </w:tr>
    </w:tbl>
    <w:p>
      <w:pPr>
        <w:spacing w:after="0" w:line="194" w:lineRule="exact"/>
        <w:jc w:val="left"/>
        <w:rPr>
          <w:sz w:val="18"/>
        </w:rPr>
        <w:sectPr>
          <w:pgSz w:w="12240" w:h="15840"/>
          <w:pgMar w:header="740" w:footer="978" w:top="940" w:bottom="1200" w:left="1200" w:right="1600"/>
        </w:sect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spacing w:line="276" w:lineRule="auto" w:before="92"/>
        <w:ind w:left="120" w:right="113"/>
      </w:pPr>
      <w:r>
        <w:rPr>
          <w:b/>
        </w:rPr>
        <w:t>Ugly Reporting Consistency</w:t>
      </w:r>
      <w:r>
        <w:rPr/>
        <w:t>: Example of NO congruence between reports: Calibre Academy (Rarely seen in the data. Any occurrence should set off alarms at the monitoring agencies.)</w:t>
      </w:r>
    </w:p>
    <w:p>
      <w:pPr>
        <w:pStyle w:val="BodyText"/>
        <w:spacing w:before="10" w:after="1"/>
        <w:rPr>
          <w:sz w:val="17"/>
        </w:rPr>
      </w:pPr>
    </w:p>
    <w:tbl>
      <w:tblPr>
        <w:tblW w:w="0" w:type="auto"/>
        <w:jc w:val="left"/>
        <w:tblInd w:w="106"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CellMar>
          <w:top w:w="0" w:type="dxa"/>
          <w:left w:w="0" w:type="dxa"/>
          <w:bottom w:w="0" w:type="dxa"/>
          <w:right w:w="0" w:type="dxa"/>
        </w:tblCellMar>
        <w:tblLook w:val="01E0"/>
      </w:tblPr>
      <w:tblGrid>
        <w:gridCol w:w="4501"/>
        <w:gridCol w:w="4501"/>
      </w:tblGrid>
      <w:tr>
        <w:trPr>
          <w:trHeight w:val="280" w:hRule="atLeast"/>
        </w:trPr>
        <w:tc>
          <w:tcPr>
            <w:tcW w:w="4501" w:type="dxa"/>
            <w:shd w:val="clear" w:color="auto" w:fill="FFFF00"/>
          </w:tcPr>
          <w:p>
            <w:pPr>
              <w:pStyle w:val="TableParagraph"/>
              <w:spacing w:line="192" w:lineRule="exact" w:before="82"/>
              <w:ind w:left="278" w:right="280"/>
              <w:rPr>
                <w:b/>
                <w:sz w:val="18"/>
              </w:rPr>
            </w:pPr>
            <w:r>
              <w:rPr>
                <w:b/>
                <w:sz w:val="18"/>
              </w:rPr>
              <w:t>Disparity Between Report to ADE and ASBCS</w:t>
            </w:r>
          </w:p>
        </w:tc>
        <w:tc>
          <w:tcPr>
            <w:tcW w:w="4501" w:type="dxa"/>
            <w:tcBorders>
              <w:top w:val="single" w:sz="8" w:space="0" w:color="000000"/>
              <w:bottom w:val="single" w:sz="8" w:space="0" w:color="000000"/>
              <w:right w:val="single" w:sz="8" w:space="0" w:color="000000"/>
            </w:tcBorders>
            <w:shd w:val="clear" w:color="auto" w:fill="FFFF00"/>
          </w:tcPr>
          <w:p>
            <w:pPr>
              <w:pStyle w:val="TableParagraph"/>
              <w:spacing w:line="192" w:lineRule="exact" w:before="82"/>
              <w:ind w:left="276" w:right="279"/>
              <w:rPr>
                <w:b/>
                <w:sz w:val="18"/>
              </w:rPr>
            </w:pPr>
            <w:r>
              <w:rPr>
                <w:b/>
                <w:sz w:val="18"/>
              </w:rPr>
              <w:t>Disparity Between Report to ADE and ASBCS</w:t>
            </w:r>
          </w:p>
        </w:tc>
      </w:tr>
      <w:tr>
        <w:trPr>
          <w:trHeight w:val="360" w:hRule="atLeast"/>
        </w:trPr>
        <w:tc>
          <w:tcPr>
            <w:tcW w:w="4501" w:type="dxa"/>
            <w:tcBorders>
              <w:left w:val="single" w:sz="8" w:space="0" w:color="000000"/>
              <w:bottom w:val="nil"/>
              <w:right w:val="single" w:sz="8" w:space="0" w:color="000000"/>
            </w:tcBorders>
            <w:shd w:val="clear" w:color="auto" w:fill="E7E6E6"/>
          </w:tcPr>
          <w:p>
            <w:pPr>
              <w:pStyle w:val="TableParagraph"/>
              <w:spacing w:before="109"/>
              <w:ind w:left="175" w:right="173"/>
              <w:rPr>
                <w:b/>
                <w:sz w:val="18"/>
              </w:rPr>
            </w:pPr>
            <w:r>
              <w:rPr>
                <w:b/>
                <w:sz w:val="18"/>
              </w:rPr>
              <w:t>Reported End of Year Assets to ADE 2014-15</w:t>
            </w:r>
          </w:p>
        </w:tc>
        <w:tc>
          <w:tcPr>
            <w:tcW w:w="4501" w:type="dxa"/>
            <w:tcBorders>
              <w:top w:val="single" w:sz="8" w:space="0" w:color="000000"/>
              <w:left w:val="single" w:sz="8" w:space="0" w:color="000000"/>
              <w:bottom w:val="nil"/>
              <w:right w:val="single" w:sz="8" w:space="0" w:color="000000"/>
            </w:tcBorders>
            <w:shd w:val="clear" w:color="auto" w:fill="E7E6E6"/>
          </w:tcPr>
          <w:p>
            <w:pPr>
              <w:pStyle w:val="TableParagraph"/>
              <w:spacing w:before="109"/>
              <w:ind w:left="217" w:right="217"/>
              <w:rPr>
                <w:b/>
                <w:sz w:val="18"/>
              </w:rPr>
            </w:pPr>
            <w:r>
              <w:rPr>
                <w:b/>
                <w:sz w:val="18"/>
              </w:rPr>
              <w:t>Revenue Less Expenses for FY 14-15 ADE</w:t>
            </w:r>
          </w:p>
        </w:tc>
      </w:tr>
      <w:tr>
        <w:trPr>
          <w:trHeight w:val="300" w:hRule="atLeast"/>
        </w:trPr>
        <w:tc>
          <w:tcPr>
            <w:tcW w:w="4501" w:type="dxa"/>
            <w:tcBorders>
              <w:top w:val="nil"/>
              <w:left w:val="single" w:sz="8" w:space="0" w:color="000000"/>
              <w:bottom w:val="nil"/>
              <w:right w:val="single" w:sz="8" w:space="0" w:color="000000"/>
            </w:tcBorders>
            <w:shd w:val="clear" w:color="auto" w:fill="E7E6E6"/>
          </w:tcPr>
          <w:p>
            <w:pPr>
              <w:pStyle w:val="TableParagraph"/>
              <w:spacing w:before="44"/>
              <w:ind w:left="173" w:right="173"/>
              <w:rPr>
                <w:b/>
                <w:sz w:val="18"/>
              </w:rPr>
            </w:pPr>
            <w:r>
              <w:rPr>
                <w:b/>
                <w:color w:val="FF0000"/>
                <w:sz w:val="18"/>
              </w:rPr>
              <w:t>-$444,414.00</w:t>
            </w:r>
          </w:p>
        </w:tc>
        <w:tc>
          <w:tcPr>
            <w:tcW w:w="4501" w:type="dxa"/>
            <w:tcBorders>
              <w:top w:val="nil"/>
              <w:left w:val="single" w:sz="8" w:space="0" w:color="000000"/>
              <w:bottom w:val="nil"/>
              <w:right w:val="single" w:sz="8" w:space="0" w:color="000000"/>
            </w:tcBorders>
            <w:shd w:val="clear" w:color="auto" w:fill="E7E6E6"/>
          </w:tcPr>
          <w:p>
            <w:pPr>
              <w:pStyle w:val="TableParagraph"/>
              <w:spacing w:before="44"/>
              <w:ind w:left="217" w:right="217"/>
              <w:rPr>
                <w:b/>
                <w:sz w:val="18"/>
              </w:rPr>
            </w:pPr>
            <w:r>
              <w:rPr>
                <w:b/>
                <w:sz w:val="18"/>
              </w:rPr>
              <w:t>$368,890.00</w:t>
            </w:r>
          </w:p>
        </w:tc>
      </w:tr>
      <w:tr>
        <w:trPr>
          <w:trHeight w:val="280" w:hRule="atLeast"/>
        </w:trPr>
        <w:tc>
          <w:tcPr>
            <w:tcW w:w="4501" w:type="dxa"/>
            <w:tcBorders>
              <w:top w:val="nil"/>
              <w:left w:val="single" w:sz="8" w:space="0" w:color="000000"/>
              <w:bottom w:val="nil"/>
              <w:right w:val="single" w:sz="8" w:space="0" w:color="000000"/>
            </w:tcBorders>
            <w:shd w:val="clear" w:color="auto" w:fill="E7E6E6"/>
          </w:tcPr>
          <w:p>
            <w:pPr>
              <w:pStyle w:val="TableParagraph"/>
              <w:spacing w:before="43"/>
              <w:ind w:left="175" w:right="173"/>
              <w:rPr>
                <w:b/>
                <w:sz w:val="18"/>
              </w:rPr>
            </w:pPr>
            <w:r>
              <w:rPr>
                <w:b/>
                <w:sz w:val="18"/>
              </w:rPr>
              <w:t>Reported End of Year Assets to ASBCS 2014-15</w:t>
            </w:r>
          </w:p>
        </w:tc>
        <w:tc>
          <w:tcPr>
            <w:tcW w:w="4501" w:type="dxa"/>
            <w:tcBorders>
              <w:top w:val="nil"/>
              <w:left w:val="single" w:sz="8" w:space="0" w:color="000000"/>
              <w:bottom w:val="nil"/>
              <w:right w:val="single" w:sz="8" w:space="0" w:color="000000"/>
            </w:tcBorders>
            <w:shd w:val="clear" w:color="auto" w:fill="E7E6E6"/>
          </w:tcPr>
          <w:p>
            <w:pPr>
              <w:pStyle w:val="TableParagraph"/>
              <w:spacing w:before="43"/>
              <w:ind w:left="217" w:right="217"/>
              <w:rPr>
                <w:b/>
                <w:sz w:val="18"/>
              </w:rPr>
            </w:pPr>
            <w:r>
              <w:rPr>
                <w:b/>
                <w:sz w:val="18"/>
              </w:rPr>
              <w:t>Revenue Less Expenses ASBCS Audit 2014-15</w:t>
            </w:r>
          </w:p>
        </w:tc>
      </w:tr>
      <w:tr>
        <w:trPr>
          <w:trHeight w:val="240" w:hRule="atLeast"/>
        </w:trPr>
        <w:tc>
          <w:tcPr>
            <w:tcW w:w="4501" w:type="dxa"/>
            <w:tcBorders>
              <w:top w:val="nil"/>
              <w:left w:val="single" w:sz="8" w:space="0" w:color="000000"/>
              <w:bottom w:val="single" w:sz="8" w:space="0" w:color="000000"/>
              <w:right w:val="single" w:sz="8" w:space="0" w:color="000000"/>
            </w:tcBorders>
            <w:shd w:val="clear" w:color="auto" w:fill="E7E6E6"/>
          </w:tcPr>
          <w:p>
            <w:pPr>
              <w:pStyle w:val="TableParagraph"/>
              <w:spacing w:line="199" w:lineRule="exact" w:before="39"/>
              <w:ind w:left="173" w:right="173"/>
              <w:rPr>
                <w:b/>
                <w:sz w:val="18"/>
              </w:rPr>
            </w:pPr>
            <w:r>
              <w:rPr>
                <w:b/>
                <w:color w:val="FF0000"/>
                <w:sz w:val="18"/>
              </w:rPr>
              <w:t>-$2,681,194.00</w:t>
            </w:r>
          </w:p>
        </w:tc>
        <w:tc>
          <w:tcPr>
            <w:tcW w:w="4501" w:type="dxa"/>
            <w:tcBorders>
              <w:top w:val="nil"/>
              <w:left w:val="single" w:sz="8" w:space="0" w:color="000000"/>
              <w:bottom w:val="single" w:sz="8" w:space="0" w:color="000000"/>
              <w:right w:val="single" w:sz="8" w:space="0" w:color="000000"/>
            </w:tcBorders>
            <w:shd w:val="clear" w:color="auto" w:fill="E7E6E6"/>
          </w:tcPr>
          <w:p>
            <w:pPr>
              <w:pStyle w:val="TableParagraph"/>
              <w:spacing w:line="199" w:lineRule="exact" w:before="39"/>
              <w:ind w:left="217" w:right="217"/>
              <w:rPr>
                <w:b/>
                <w:sz w:val="18"/>
              </w:rPr>
            </w:pPr>
            <w:r>
              <w:rPr>
                <w:b/>
                <w:color w:val="FF0000"/>
                <w:sz w:val="18"/>
              </w:rPr>
              <w:t>-$133,919.00</w:t>
            </w:r>
          </w:p>
        </w:tc>
      </w:tr>
      <w:tr>
        <w:trPr>
          <w:trHeight w:val="460" w:hRule="atLeast"/>
        </w:trPr>
        <w:tc>
          <w:tcPr>
            <w:tcW w:w="4501" w:type="dxa"/>
            <w:tcBorders>
              <w:top w:val="single" w:sz="8" w:space="0" w:color="000000"/>
              <w:left w:val="single" w:sz="8" w:space="0" w:color="000000"/>
              <w:bottom w:val="nil"/>
              <w:right w:val="single" w:sz="8" w:space="0" w:color="000000"/>
            </w:tcBorders>
            <w:shd w:val="clear" w:color="auto" w:fill="FBE3D5"/>
          </w:tcPr>
          <w:p>
            <w:pPr>
              <w:pStyle w:val="TableParagraph"/>
              <w:ind w:left="1909" w:right="289" w:hanging="1623"/>
              <w:jc w:val="left"/>
              <w:rPr>
                <w:b/>
                <w:sz w:val="18"/>
              </w:rPr>
            </w:pPr>
            <w:r>
              <w:rPr>
                <w:b/>
                <w:sz w:val="18"/>
              </w:rPr>
              <w:t>Reported End of Year Assets to IRS Form 990 2013-14</w:t>
            </w:r>
          </w:p>
        </w:tc>
        <w:tc>
          <w:tcPr>
            <w:tcW w:w="4501" w:type="dxa"/>
            <w:tcBorders>
              <w:top w:val="single" w:sz="8" w:space="0" w:color="000000"/>
              <w:left w:val="single" w:sz="8" w:space="0" w:color="000000"/>
              <w:bottom w:val="nil"/>
              <w:right w:val="single" w:sz="8" w:space="0" w:color="000000"/>
            </w:tcBorders>
            <w:shd w:val="clear" w:color="auto" w:fill="FBE3D5"/>
          </w:tcPr>
          <w:p>
            <w:pPr>
              <w:pStyle w:val="TableParagraph"/>
              <w:ind w:left="1768" w:right="525" w:hanging="1234"/>
              <w:jc w:val="left"/>
              <w:rPr>
                <w:b/>
                <w:sz w:val="18"/>
              </w:rPr>
            </w:pPr>
            <w:r>
              <w:rPr>
                <w:b/>
                <w:sz w:val="18"/>
              </w:rPr>
              <w:t>Revenue Less Expenses from Form 990 FY 2013-14</w:t>
            </w:r>
          </w:p>
        </w:tc>
      </w:tr>
      <w:tr>
        <w:trPr>
          <w:trHeight w:val="300" w:hRule="atLeast"/>
        </w:trPr>
        <w:tc>
          <w:tcPr>
            <w:tcW w:w="4501" w:type="dxa"/>
            <w:tcBorders>
              <w:top w:val="nil"/>
              <w:left w:val="single" w:sz="8" w:space="0" w:color="000000"/>
              <w:bottom w:val="nil"/>
              <w:right w:val="single" w:sz="8" w:space="0" w:color="000000"/>
            </w:tcBorders>
            <w:shd w:val="clear" w:color="auto" w:fill="FBE3D5"/>
          </w:tcPr>
          <w:p>
            <w:pPr>
              <w:pStyle w:val="TableParagraph"/>
              <w:spacing w:before="44"/>
              <w:ind w:left="173" w:right="173"/>
              <w:rPr>
                <w:b/>
                <w:sz w:val="18"/>
              </w:rPr>
            </w:pPr>
            <w:r>
              <w:rPr>
                <w:b/>
                <w:sz w:val="18"/>
              </w:rPr>
              <w:t>$2,534,618.00</w:t>
            </w:r>
          </w:p>
        </w:tc>
        <w:tc>
          <w:tcPr>
            <w:tcW w:w="4501" w:type="dxa"/>
            <w:tcBorders>
              <w:top w:val="nil"/>
              <w:left w:val="single" w:sz="8" w:space="0" w:color="000000"/>
              <w:bottom w:val="nil"/>
              <w:right w:val="single" w:sz="8" w:space="0" w:color="000000"/>
            </w:tcBorders>
            <w:shd w:val="clear" w:color="auto" w:fill="FBE3D5"/>
          </w:tcPr>
          <w:p>
            <w:pPr>
              <w:pStyle w:val="TableParagraph"/>
              <w:spacing w:before="44"/>
              <w:ind w:left="217" w:right="217"/>
              <w:rPr>
                <w:b/>
                <w:sz w:val="18"/>
              </w:rPr>
            </w:pPr>
            <w:r>
              <w:rPr>
                <w:b/>
                <w:sz w:val="18"/>
              </w:rPr>
              <w:t>$716,751.00</w:t>
            </w:r>
          </w:p>
        </w:tc>
      </w:tr>
      <w:tr>
        <w:trPr>
          <w:trHeight w:val="280" w:hRule="atLeast"/>
        </w:trPr>
        <w:tc>
          <w:tcPr>
            <w:tcW w:w="4501" w:type="dxa"/>
            <w:tcBorders>
              <w:top w:val="nil"/>
              <w:left w:val="single" w:sz="8" w:space="0" w:color="000000"/>
              <w:bottom w:val="nil"/>
              <w:right w:val="single" w:sz="8" w:space="0" w:color="000000"/>
            </w:tcBorders>
            <w:shd w:val="clear" w:color="auto" w:fill="FBE3D5"/>
          </w:tcPr>
          <w:p>
            <w:pPr>
              <w:pStyle w:val="TableParagraph"/>
              <w:spacing w:before="43"/>
              <w:ind w:left="175" w:right="173"/>
              <w:rPr>
                <w:b/>
                <w:sz w:val="18"/>
              </w:rPr>
            </w:pPr>
            <w:r>
              <w:rPr>
                <w:b/>
                <w:sz w:val="18"/>
              </w:rPr>
              <w:t>Reported End of Year Assets to ASBCS 2013-14</w:t>
            </w:r>
          </w:p>
        </w:tc>
        <w:tc>
          <w:tcPr>
            <w:tcW w:w="4501" w:type="dxa"/>
            <w:tcBorders>
              <w:top w:val="nil"/>
              <w:left w:val="single" w:sz="8" w:space="0" w:color="000000"/>
              <w:bottom w:val="nil"/>
              <w:right w:val="single" w:sz="8" w:space="0" w:color="000000"/>
            </w:tcBorders>
            <w:shd w:val="clear" w:color="auto" w:fill="FBE3D5"/>
          </w:tcPr>
          <w:p>
            <w:pPr>
              <w:pStyle w:val="TableParagraph"/>
              <w:spacing w:before="43"/>
              <w:ind w:left="217" w:right="217"/>
              <w:rPr>
                <w:b/>
                <w:sz w:val="18"/>
              </w:rPr>
            </w:pPr>
            <w:r>
              <w:rPr>
                <w:b/>
                <w:sz w:val="18"/>
              </w:rPr>
              <w:t>Revenue Less Expenses ASBCS Audit 2013-14</w:t>
            </w:r>
          </w:p>
        </w:tc>
      </w:tr>
      <w:tr>
        <w:trPr>
          <w:trHeight w:val="260" w:hRule="atLeast"/>
        </w:trPr>
        <w:tc>
          <w:tcPr>
            <w:tcW w:w="4501" w:type="dxa"/>
            <w:tcBorders>
              <w:top w:val="nil"/>
              <w:left w:val="single" w:sz="8" w:space="0" w:color="000000"/>
              <w:bottom w:val="single" w:sz="8" w:space="0" w:color="000000"/>
              <w:right w:val="single" w:sz="8" w:space="0" w:color="000000"/>
            </w:tcBorders>
            <w:shd w:val="clear" w:color="auto" w:fill="FBE3D5"/>
          </w:tcPr>
          <w:p>
            <w:pPr>
              <w:pStyle w:val="TableParagraph"/>
              <w:spacing w:before="37"/>
              <w:ind w:left="173" w:right="173"/>
              <w:rPr>
                <w:b/>
                <w:sz w:val="18"/>
              </w:rPr>
            </w:pPr>
            <w:r>
              <w:rPr>
                <w:b/>
                <w:color w:val="FF0000"/>
                <w:sz w:val="18"/>
              </w:rPr>
              <w:t>-$2,570,042.00</w:t>
            </w:r>
          </w:p>
        </w:tc>
        <w:tc>
          <w:tcPr>
            <w:tcW w:w="4501" w:type="dxa"/>
            <w:tcBorders>
              <w:top w:val="nil"/>
              <w:left w:val="single" w:sz="8" w:space="0" w:color="000000"/>
              <w:bottom w:val="single" w:sz="8" w:space="0" w:color="000000"/>
              <w:right w:val="single" w:sz="8" w:space="0" w:color="000000"/>
            </w:tcBorders>
            <w:shd w:val="clear" w:color="auto" w:fill="FBE3D5"/>
          </w:tcPr>
          <w:p>
            <w:pPr>
              <w:pStyle w:val="TableParagraph"/>
              <w:spacing w:before="37"/>
              <w:ind w:left="217" w:right="217"/>
              <w:rPr>
                <w:b/>
                <w:sz w:val="18"/>
              </w:rPr>
            </w:pPr>
            <w:r>
              <w:rPr>
                <w:b/>
                <w:color w:val="FF0000"/>
                <w:sz w:val="18"/>
              </w:rPr>
              <w:t>-$176,523.00</w:t>
            </w:r>
          </w:p>
        </w:tc>
      </w:tr>
      <w:tr>
        <w:trPr>
          <w:trHeight w:val="300" w:hRule="atLeast"/>
        </w:trPr>
        <w:tc>
          <w:tcPr>
            <w:tcW w:w="4501" w:type="dxa"/>
            <w:tcBorders>
              <w:top w:val="single" w:sz="8" w:space="0" w:color="000000"/>
              <w:left w:val="single" w:sz="8" w:space="0" w:color="000000"/>
              <w:bottom w:val="single" w:sz="8" w:space="0" w:color="000000"/>
              <w:right w:val="single" w:sz="8" w:space="0" w:color="000000"/>
            </w:tcBorders>
            <w:shd w:val="clear" w:color="auto" w:fill="FFFF00"/>
          </w:tcPr>
          <w:p>
            <w:pPr>
              <w:pStyle w:val="TableParagraph"/>
              <w:spacing w:line="192" w:lineRule="exact" w:before="88"/>
              <w:ind w:left="172" w:right="173"/>
              <w:rPr>
                <w:b/>
                <w:sz w:val="18"/>
              </w:rPr>
            </w:pPr>
            <w:r>
              <w:rPr>
                <w:b/>
                <w:sz w:val="18"/>
              </w:rPr>
              <w:t>ASBCS and IRS reporting DO NOT AGREE</w:t>
            </w:r>
          </w:p>
        </w:tc>
        <w:tc>
          <w:tcPr>
            <w:tcW w:w="4501" w:type="dxa"/>
            <w:tcBorders>
              <w:top w:val="single" w:sz="8" w:space="0" w:color="000000"/>
              <w:left w:val="single" w:sz="8" w:space="0" w:color="000000"/>
              <w:bottom w:val="single" w:sz="8" w:space="0" w:color="000000"/>
              <w:right w:val="single" w:sz="8" w:space="0" w:color="000000"/>
            </w:tcBorders>
            <w:shd w:val="clear" w:color="auto" w:fill="FFFF00"/>
          </w:tcPr>
          <w:p>
            <w:pPr>
              <w:pStyle w:val="TableParagraph"/>
              <w:spacing w:line="192" w:lineRule="exact" w:before="88"/>
              <w:ind w:left="216" w:right="217"/>
              <w:rPr>
                <w:b/>
                <w:sz w:val="18"/>
              </w:rPr>
            </w:pPr>
            <w:r>
              <w:rPr>
                <w:b/>
                <w:sz w:val="18"/>
              </w:rPr>
              <w:t>ASBCS and IRS reporting DO NOT AGREE</w:t>
            </w:r>
          </w:p>
        </w:tc>
      </w:tr>
    </w:tbl>
    <w:p>
      <w:pPr>
        <w:pStyle w:val="BodyText"/>
        <w:spacing w:before="4"/>
        <w:rPr>
          <w:sz w:val="27"/>
        </w:rPr>
      </w:pPr>
    </w:p>
    <w:p>
      <w:pPr>
        <w:spacing w:line="280" w:lineRule="auto" w:before="0"/>
        <w:ind w:left="840" w:right="262" w:hanging="660"/>
        <w:jc w:val="left"/>
        <w:rPr>
          <w:sz w:val="24"/>
        </w:rPr>
      </w:pPr>
      <w:r>
        <w:rPr>
          <w:sz w:val="24"/>
        </w:rPr>
        <w:t>Note: The data set </w:t>
      </w:r>
      <w:r>
        <w:rPr>
          <w:i/>
          <w:sz w:val="24"/>
          <w:u w:val="single"/>
        </w:rPr>
        <w:t>provides this data for EVERY charter in Arizona</w:t>
      </w:r>
      <w:r>
        <w:rPr>
          <w:sz w:val="24"/>
        </w:rPr>
        <w:t>. Matches are color coded in green and mismatches are highlighted in yellow for easy comparison.</w:t>
      </w:r>
    </w:p>
    <w:p>
      <w:pPr>
        <w:pStyle w:val="Heading1"/>
        <w:spacing w:before="199"/>
        <w:jc w:val="both"/>
      </w:pPr>
      <w:bookmarkStart w:name="_bookmark70" w:id="71"/>
      <w:bookmarkEnd w:id="71"/>
      <w:r>
        <w:rPr/>
      </w:r>
      <w:r>
        <w:rPr>
          <w:color w:val="365F91"/>
        </w:rPr>
        <w:t>Conclusion and Forthcoming Reports</w:t>
      </w:r>
    </w:p>
    <w:p>
      <w:pPr>
        <w:pStyle w:val="BodyText"/>
        <w:spacing w:line="276" w:lineRule="auto" w:before="40"/>
        <w:ind w:left="120" w:right="115"/>
        <w:jc w:val="both"/>
      </w:pPr>
      <w:r>
        <w:rPr/>
        <w:t>Arizona’s charter sector shows ample evidence of taxpayer resources designated to benefit student achievement ending up in other places due to the opportunism possible because of lax regulatory rules and very little public accountability.</w:t>
      </w:r>
    </w:p>
    <w:p>
      <w:pPr>
        <w:pStyle w:val="BodyText"/>
        <w:spacing w:line="276" w:lineRule="auto" w:before="201"/>
        <w:ind w:left="120" w:right="114"/>
        <w:jc w:val="both"/>
      </w:pPr>
      <w:r>
        <w:rPr/>
        <w:t>This first policy report has begun the process of shining a light on these practices, which if</w:t>
      </w:r>
      <w:r>
        <w:rPr>
          <w:spacing w:val="-7"/>
        </w:rPr>
        <w:t> </w:t>
      </w:r>
      <w:r>
        <w:rPr/>
        <w:t>they</w:t>
      </w:r>
      <w:r>
        <w:rPr>
          <w:spacing w:val="-12"/>
        </w:rPr>
        <w:t> </w:t>
      </w:r>
      <w:r>
        <w:rPr/>
        <w:t>were</w:t>
      </w:r>
      <w:r>
        <w:rPr>
          <w:spacing w:val="-9"/>
        </w:rPr>
        <w:t> </w:t>
      </w:r>
      <w:r>
        <w:rPr/>
        <w:t>occurring</w:t>
      </w:r>
      <w:r>
        <w:rPr>
          <w:spacing w:val="-10"/>
        </w:rPr>
        <w:t> </w:t>
      </w:r>
      <w:r>
        <w:rPr/>
        <w:t>in</w:t>
      </w:r>
      <w:r>
        <w:rPr>
          <w:spacing w:val="-8"/>
        </w:rPr>
        <w:t> </w:t>
      </w:r>
      <w:r>
        <w:rPr/>
        <w:t>another</w:t>
      </w:r>
      <w:r>
        <w:rPr>
          <w:spacing w:val="-10"/>
        </w:rPr>
        <w:t> </w:t>
      </w:r>
      <w:r>
        <w:rPr/>
        <w:t>sector</w:t>
      </w:r>
      <w:r>
        <w:rPr>
          <w:spacing w:val="-10"/>
        </w:rPr>
        <w:t> </w:t>
      </w:r>
      <w:r>
        <w:rPr/>
        <w:t>would</w:t>
      </w:r>
      <w:r>
        <w:rPr>
          <w:spacing w:val="-11"/>
        </w:rPr>
        <w:t> </w:t>
      </w:r>
      <w:r>
        <w:rPr/>
        <w:t>not</w:t>
      </w:r>
      <w:r>
        <w:rPr>
          <w:spacing w:val="-4"/>
        </w:rPr>
        <w:t> </w:t>
      </w:r>
      <w:r>
        <w:rPr/>
        <w:t>be</w:t>
      </w:r>
      <w:r>
        <w:rPr>
          <w:spacing w:val="-8"/>
        </w:rPr>
        <w:t> </w:t>
      </w:r>
      <w:r>
        <w:rPr/>
        <w:t>tolerated.</w:t>
      </w:r>
      <w:r>
        <w:rPr>
          <w:spacing w:val="-9"/>
        </w:rPr>
        <w:t> </w:t>
      </w:r>
      <w:r>
        <w:rPr/>
        <w:t>Under</w:t>
      </w:r>
      <w:r>
        <w:rPr>
          <w:spacing w:val="-10"/>
        </w:rPr>
        <w:t> </w:t>
      </w:r>
      <w:r>
        <w:rPr/>
        <w:t>state</w:t>
      </w:r>
      <w:r>
        <w:rPr>
          <w:spacing w:val="-8"/>
        </w:rPr>
        <w:t> </w:t>
      </w:r>
      <w:r>
        <w:rPr/>
        <w:t>law</w:t>
      </w:r>
      <w:r>
        <w:rPr>
          <w:spacing w:val="-12"/>
        </w:rPr>
        <w:t> </w:t>
      </w:r>
      <w:r>
        <w:rPr/>
        <w:t>if</w:t>
      </w:r>
      <w:r>
        <w:rPr>
          <w:spacing w:val="-7"/>
        </w:rPr>
        <w:t> </w:t>
      </w:r>
      <w:r>
        <w:rPr/>
        <w:t>a</w:t>
      </w:r>
      <w:r>
        <w:rPr>
          <w:spacing w:val="-11"/>
        </w:rPr>
        <w:t> </w:t>
      </w:r>
      <w:r>
        <w:rPr/>
        <w:t>nearly destitute mother misses a job interview appointment she can lose eligibility permanently for</w:t>
      </w:r>
      <w:r>
        <w:rPr>
          <w:spacing w:val="-7"/>
        </w:rPr>
        <w:t> </w:t>
      </w:r>
      <w:r>
        <w:rPr/>
        <w:t>her</w:t>
      </w:r>
      <w:r>
        <w:rPr>
          <w:spacing w:val="-10"/>
        </w:rPr>
        <w:t> </w:t>
      </w:r>
      <w:r>
        <w:rPr/>
        <w:t>meager</w:t>
      </w:r>
      <w:r>
        <w:rPr>
          <w:spacing w:val="-7"/>
        </w:rPr>
        <w:t> </w:t>
      </w:r>
      <w:r>
        <w:rPr/>
        <w:t>$200</w:t>
      </w:r>
      <w:r>
        <w:rPr>
          <w:spacing w:val="-8"/>
        </w:rPr>
        <w:t> </w:t>
      </w:r>
      <w:r>
        <w:rPr/>
        <w:t>a</w:t>
      </w:r>
      <w:r>
        <w:rPr>
          <w:spacing w:val="-8"/>
        </w:rPr>
        <w:t> </w:t>
      </w:r>
      <w:r>
        <w:rPr/>
        <w:t>month</w:t>
      </w:r>
      <w:r>
        <w:rPr>
          <w:spacing w:val="-8"/>
        </w:rPr>
        <w:t> </w:t>
      </w:r>
      <w:r>
        <w:rPr/>
        <w:t>TANF</w:t>
      </w:r>
      <w:r>
        <w:rPr>
          <w:spacing w:val="-7"/>
        </w:rPr>
        <w:t> </w:t>
      </w:r>
      <w:r>
        <w:rPr/>
        <w:t>benefits.</w:t>
      </w:r>
      <w:r>
        <w:rPr>
          <w:spacing w:val="-9"/>
        </w:rPr>
        <w:t> </w:t>
      </w:r>
      <w:r>
        <w:rPr/>
        <w:t>Many</w:t>
      </w:r>
      <w:r>
        <w:rPr>
          <w:spacing w:val="-9"/>
        </w:rPr>
        <w:t> </w:t>
      </w:r>
      <w:r>
        <w:rPr/>
        <w:t>top</w:t>
      </w:r>
      <w:r>
        <w:rPr>
          <w:spacing w:val="-6"/>
        </w:rPr>
        <w:t> </w:t>
      </w:r>
      <w:r>
        <w:rPr/>
        <w:t>level</w:t>
      </w:r>
      <w:r>
        <w:rPr>
          <w:spacing w:val="-7"/>
        </w:rPr>
        <w:t> </w:t>
      </w:r>
      <w:r>
        <w:rPr/>
        <w:t>charter</w:t>
      </w:r>
      <w:r>
        <w:rPr>
          <w:spacing w:val="-10"/>
        </w:rPr>
        <w:t> </w:t>
      </w:r>
      <w:r>
        <w:rPr/>
        <w:t>administrators</w:t>
      </w:r>
      <w:r>
        <w:rPr>
          <w:spacing w:val="-10"/>
        </w:rPr>
        <w:t> </w:t>
      </w:r>
      <w:r>
        <w:rPr/>
        <w:t>make more than that before lunch on any given day, yet there is little to no scrutiny of their</w:t>
      </w:r>
      <w:r>
        <w:rPr>
          <w:spacing w:val="-33"/>
        </w:rPr>
        <w:t> </w:t>
      </w:r>
      <w:r>
        <w:rPr/>
        <w:t>use of taxpayer</w:t>
      </w:r>
      <w:r>
        <w:rPr>
          <w:spacing w:val="-8"/>
        </w:rPr>
        <w:t> </w:t>
      </w:r>
      <w:r>
        <w:rPr/>
        <w:t>dollars.</w:t>
      </w:r>
    </w:p>
    <w:p>
      <w:pPr>
        <w:pStyle w:val="BodyText"/>
        <w:spacing w:line="276" w:lineRule="auto" w:before="201"/>
        <w:ind w:left="120" w:right="107"/>
        <w:jc w:val="both"/>
      </w:pPr>
      <w:r>
        <w:rPr/>
        <w:t>The recommendations detailed in these policy reports should be common sense. Make sure</w:t>
      </w:r>
      <w:r>
        <w:rPr>
          <w:spacing w:val="-13"/>
        </w:rPr>
        <w:t> </w:t>
      </w:r>
      <w:r>
        <w:rPr/>
        <w:t>the</w:t>
      </w:r>
      <w:r>
        <w:rPr>
          <w:spacing w:val="-15"/>
        </w:rPr>
        <w:t> </w:t>
      </w:r>
      <w:r>
        <w:rPr/>
        <w:t>financial</w:t>
      </w:r>
      <w:r>
        <w:rPr>
          <w:spacing w:val="-14"/>
        </w:rPr>
        <w:t> </w:t>
      </w:r>
      <w:r>
        <w:rPr/>
        <w:t>reports</w:t>
      </w:r>
      <w:r>
        <w:rPr>
          <w:spacing w:val="-14"/>
        </w:rPr>
        <w:t> </w:t>
      </w:r>
      <w:r>
        <w:rPr/>
        <w:t>reconcile</w:t>
      </w:r>
      <w:r>
        <w:rPr>
          <w:spacing w:val="-15"/>
        </w:rPr>
        <w:t> </w:t>
      </w:r>
      <w:r>
        <w:rPr/>
        <w:t>with</w:t>
      </w:r>
      <w:r>
        <w:rPr>
          <w:spacing w:val="-13"/>
        </w:rPr>
        <w:t> </w:t>
      </w:r>
      <w:r>
        <w:rPr/>
        <w:t>each</w:t>
      </w:r>
      <w:r>
        <w:rPr>
          <w:spacing w:val="-13"/>
        </w:rPr>
        <w:t> </w:t>
      </w:r>
      <w:r>
        <w:rPr/>
        <w:t>other.</w:t>
      </w:r>
      <w:r>
        <w:rPr>
          <w:spacing w:val="-14"/>
        </w:rPr>
        <w:t> </w:t>
      </w:r>
      <w:r>
        <w:rPr/>
        <w:t>Justify</w:t>
      </w:r>
      <w:r>
        <w:rPr>
          <w:spacing w:val="-16"/>
        </w:rPr>
        <w:t> </w:t>
      </w:r>
      <w:r>
        <w:rPr/>
        <w:t>expenses</w:t>
      </w:r>
      <w:r>
        <w:rPr>
          <w:spacing w:val="-16"/>
        </w:rPr>
        <w:t> </w:t>
      </w:r>
      <w:r>
        <w:rPr/>
        <w:t>if</w:t>
      </w:r>
      <w:r>
        <w:rPr>
          <w:spacing w:val="-14"/>
        </w:rPr>
        <w:t> </w:t>
      </w:r>
      <w:r>
        <w:rPr/>
        <w:t>you’re</w:t>
      </w:r>
      <w:r>
        <w:rPr>
          <w:spacing w:val="-13"/>
        </w:rPr>
        <w:t> </w:t>
      </w:r>
      <w:r>
        <w:rPr/>
        <w:t>dealing</w:t>
      </w:r>
      <w:r>
        <w:rPr>
          <w:spacing w:val="-15"/>
        </w:rPr>
        <w:t> </w:t>
      </w:r>
      <w:r>
        <w:rPr/>
        <w:t>with related</w:t>
      </w:r>
      <w:r>
        <w:rPr>
          <w:spacing w:val="-18"/>
        </w:rPr>
        <w:t> </w:t>
      </w:r>
      <w:r>
        <w:rPr/>
        <w:t>parties,</w:t>
      </w:r>
      <w:r>
        <w:rPr>
          <w:spacing w:val="-18"/>
        </w:rPr>
        <w:t> </w:t>
      </w:r>
      <w:r>
        <w:rPr/>
        <w:t>and</w:t>
      </w:r>
      <w:r>
        <w:rPr>
          <w:spacing w:val="-18"/>
        </w:rPr>
        <w:t> </w:t>
      </w:r>
      <w:r>
        <w:rPr/>
        <w:t>make</w:t>
      </w:r>
      <w:r>
        <w:rPr>
          <w:spacing w:val="-16"/>
        </w:rPr>
        <w:t> </w:t>
      </w:r>
      <w:r>
        <w:rPr/>
        <w:t>that</w:t>
      </w:r>
      <w:r>
        <w:rPr>
          <w:spacing w:val="-18"/>
        </w:rPr>
        <w:t> </w:t>
      </w:r>
      <w:r>
        <w:rPr/>
        <w:t>justification</w:t>
      </w:r>
      <w:r>
        <w:rPr>
          <w:spacing w:val="-18"/>
        </w:rPr>
        <w:t> </w:t>
      </w:r>
      <w:r>
        <w:rPr/>
        <w:t>publicly</w:t>
      </w:r>
      <w:r>
        <w:rPr>
          <w:spacing w:val="-19"/>
        </w:rPr>
        <w:t> </w:t>
      </w:r>
      <w:r>
        <w:rPr/>
        <w:t>accessible.</w:t>
      </w:r>
      <w:r>
        <w:rPr>
          <w:spacing w:val="-16"/>
        </w:rPr>
        <w:t> </w:t>
      </w:r>
      <w:r>
        <w:rPr/>
        <w:t>If</w:t>
      </w:r>
      <w:r>
        <w:rPr>
          <w:spacing w:val="-16"/>
        </w:rPr>
        <w:t> </w:t>
      </w:r>
      <w:r>
        <w:rPr/>
        <w:t>you</w:t>
      </w:r>
      <w:r>
        <w:rPr>
          <w:spacing w:val="-18"/>
        </w:rPr>
        <w:t> </w:t>
      </w:r>
      <w:r>
        <w:rPr/>
        <w:t>pay</w:t>
      </w:r>
      <w:r>
        <w:rPr>
          <w:spacing w:val="-19"/>
        </w:rPr>
        <w:t> </w:t>
      </w:r>
      <w:r>
        <w:rPr/>
        <w:t>non-</w:t>
      </w:r>
      <w:r>
        <w:rPr>
          <w:spacing w:val="-17"/>
        </w:rPr>
        <w:t> </w:t>
      </w:r>
      <w:r>
        <w:rPr/>
        <w:t>instructional personnel</w:t>
      </w:r>
      <w:r>
        <w:rPr>
          <w:spacing w:val="-10"/>
        </w:rPr>
        <w:t> </w:t>
      </w:r>
      <w:r>
        <w:rPr/>
        <w:t>more</w:t>
      </w:r>
      <w:r>
        <w:rPr>
          <w:spacing w:val="-9"/>
        </w:rPr>
        <w:t> </w:t>
      </w:r>
      <w:r>
        <w:rPr/>
        <w:t>than</w:t>
      </w:r>
      <w:r>
        <w:rPr>
          <w:spacing w:val="-8"/>
        </w:rPr>
        <w:t> </w:t>
      </w:r>
      <w:r>
        <w:rPr/>
        <w:t>50%</w:t>
      </w:r>
      <w:r>
        <w:rPr>
          <w:spacing w:val="-9"/>
        </w:rPr>
        <w:t> </w:t>
      </w:r>
      <w:r>
        <w:rPr/>
        <w:t>more</w:t>
      </w:r>
      <w:r>
        <w:rPr>
          <w:spacing w:val="-8"/>
        </w:rPr>
        <w:t> </w:t>
      </w:r>
      <w:r>
        <w:rPr/>
        <w:t>than</w:t>
      </w:r>
      <w:r>
        <w:rPr>
          <w:spacing w:val="-8"/>
        </w:rPr>
        <w:t> </w:t>
      </w:r>
      <w:r>
        <w:rPr/>
        <w:t>your</w:t>
      </w:r>
      <w:r>
        <w:rPr>
          <w:spacing w:val="-10"/>
        </w:rPr>
        <w:t> </w:t>
      </w:r>
      <w:r>
        <w:rPr/>
        <w:t>typical</w:t>
      </w:r>
      <w:r>
        <w:rPr>
          <w:spacing w:val="-9"/>
        </w:rPr>
        <w:t> </w:t>
      </w:r>
      <w:r>
        <w:rPr/>
        <w:t>teacher,</w:t>
      </w:r>
      <w:r>
        <w:rPr>
          <w:spacing w:val="-9"/>
        </w:rPr>
        <w:t> </w:t>
      </w:r>
      <w:r>
        <w:rPr/>
        <w:t>explain</w:t>
      </w:r>
      <w:r>
        <w:rPr>
          <w:spacing w:val="-8"/>
        </w:rPr>
        <w:t> </w:t>
      </w:r>
      <w:r>
        <w:rPr/>
        <w:t>and</w:t>
      </w:r>
      <w:r>
        <w:rPr>
          <w:spacing w:val="-8"/>
        </w:rPr>
        <w:t> </w:t>
      </w:r>
      <w:r>
        <w:rPr/>
        <w:t>justify</w:t>
      </w:r>
      <w:r>
        <w:rPr>
          <w:spacing w:val="-12"/>
        </w:rPr>
        <w:t> </w:t>
      </w:r>
      <w:r>
        <w:rPr/>
        <w:t>it,</w:t>
      </w:r>
      <w:r>
        <w:rPr>
          <w:spacing w:val="-9"/>
        </w:rPr>
        <w:t> </w:t>
      </w:r>
      <w:r>
        <w:rPr/>
        <w:t>and</w:t>
      </w:r>
      <w:r>
        <w:rPr>
          <w:spacing w:val="-11"/>
        </w:rPr>
        <w:t> </w:t>
      </w:r>
      <w:r>
        <w:rPr/>
        <w:t>make that information publicly</w:t>
      </w:r>
      <w:r>
        <w:rPr>
          <w:spacing w:val="-38"/>
        </w:rPr>
        <w:t> </w:t>
      </w:r>
      <w:r>
        <w:rPr/>
        <w:t>available.</w:t>
      </w:r>
    </w:p>
    <w:p>
      <w:pPr>
        <w:pStyle w:val="BodyText"/>
        <w:spacing w:line="278" w:lineRule="auto" w:before="202"/>
        <w:ind w:left="120" w:right="116"/>
        <w:jc w:val="both"/>
      </w:pPr>
      <w:r>
        <w:rPr/>
        <w:t>If there is a for-profit receiving taxpayer dollars, the amounts for related parties and anyone actually working at the school needs to be disclosed.</w:t>
      </w:r>
    </w:p>
    <w:p>
      <w:pPr>
        <w:pStyle w:val="BodyText"/>
        <w:spacing w:line="276" w:lineRule="auto" w:before="195"/>
        <w:ind w:left="120" w:right="112"/>
        <w:jc w:val="both"/>
      </w:pPr>
      <w:r>
        <w:rPr/>
        <w:t>We gladly recognize charters that are already performing well with their financial decisions, and others need to reform practices, so it’s less opportunism due to lax regulation and more about helping students succeed.</w:t>
      </w:r>
    </w:p>
    <w:p>
      <w:pPr>
        <w:spacing w:after="0" w:line="276" w:lineRule="auto"/>
        <w:jc w:val="both"/>
        <w:sectPr>
          <w:pgSz w:w="12240" w:h="15840"/>
          <w:pgMar w:header="740" w:footer="978" w:top="940" w:bottom="1160" w:left="1320" w:right="1320"/>
        </w:sectPr>
      </w:pPr>
    </w:p>
    <w:p>
      <w:pPr>
        <w:pStyle w:val="BodyText"/>
        <w:rPr>
          <w:sz w:val="20"/>
        </w:rPr>
      </w:pPr>
    </w:p>
    <w:p>
      <w:pPr>
        <w:pStyle w:val="BodyText"/>
        <w:spacing w:before="2"/>
        <w:rPr>
          <w:sz w:val="21"/>
        </w:rPr>
      </w:pPr>
    </w:p>
    <w:p>
      <w:pPr>
        <w:pStyle w:val="BodyText"/>
        <w:spacing w:line="278" w:lineRule="auto" w:before="1"/>
        <w:ind w:left="100" w:right="109"/>
        <w:jc w:val="both"/>
      </w:pPr>
      <w:r>
        <w:rPr/>
        <w:t>The second policy report in this series entitled </w:t>
      </w:r>
      <w:r>
        <w:rPr>
          <w:i/>
        </w:rPr>
        <w:t>Red Flags </w:t>
      </w:r>
      <w:r>
        <w:rPr/>
        <w:t>will be released in the fall of 2017. That policy report highlights the financial issues that are threatening the financial viability of the charter marketplace. Unlike public district schools, in the charter sector public money is used to buy what becomes private property and assets.</w:t>
      </w:r>
    </w:p>
    <w:p>
      <w:pPr>
        <w:pStyle w:val="BodyText"/>
        <w:spacing w:before="197"/>
        <w:ind w:left="100"/>
        <w:jc w:val="both"/>
      </w:pPr>
      <w:r>
        <w:rPr/>
        <w:t>The factors identified as causes of financial risk include:</w:t>
      </w:r>
    </w:p>
    <w:p>
      <w:pPr>
        <w:pStyle w:val="BodyText"/>
        <w:spacing w:before="7"/>
        <w:rPr>
          <w:sz w:val="20"/>
        </w:rPr>
      </w:pPr>
    </w:p>
    <w:p>
      <w:pPr>
        <w:pStyle w:val="ListParagraph"/>
        <w:numPr>
          <w:ilvl w:val="1"/>
          <w:numId w:val="14"/>
        </w:numPr>
        <w:tabs>
          <w:tab w:pos="1541" w:val="left" w:leader="none"/>
        </w:tabs>
        <w:spacing w:line="268" w:lineRule="auto" w:before="1" w:after="0"/>
        <w:ind w:left="1540" w:right="118" w:hanging="360"/>
        <w:jc w:val="both"/>
        <w:rPr>
          <w:sz w:val="24"/>
        </w:rPr>
      </w:pPr>
      <w:r>
        <w:rPr>
          <w:sz w:val="24"/>
        </w:rPr>
        <w:t>Net Losses on Revenues minus Expenditures at 153 of 407 charters in fiscal year</w:t>
      </w:r>
      <w:r>
        <w:rPr>
          <w:spacing w:val="-16"/>
          <w:sz w:val="24"/>
        </w:rPr>
        <w:t> </w:t>
      </w:r>
      <w:r>
        <w:rPr>
          <w:sz w:val="24"/>
        </w:rPr>
        <w:t>2014-2015</w:t>
      </w:r>
    </w:p>
    <w:p>
      <w:pPr>
        <w:pStyle w:val="ListParagraph"/>
        <w:numPr>
          <w:ilvl w:val="1"/>
          <w:numId w:val="14"/>
        </w:numPr>
        <w:tabs>
          <w:tab w:pos="1537" w:val="left" w:leader="none"/>
          <w:tab w:pos="1538" w:val="left" w:leader="none"/>
        </w:tabs>
        <w:spacing w:line="240" w:lineRule="auto" w:before="7" w:after="0"/>
        <w:ind w:left="1538" w:right="0" w:hanging="358"/>
        <w:jc w:val="left"/>
        <w:rPr>
          <w:sz w:val="24"/>
        </w:rPr>
      </w:pPr>
      <w:r>
        <w:rPr>
          <w:sz w:val="24"/>
        </w:rPr>
        <w:t>Long Term Losses represented by NET (Deficits) at 83 charter</w:t>
      </w:r>
      <w:r>
        <w:rPr>
          <w:spacing w:val="-50"/>
          <w:sz w:val="24"/>
        </w:rPr>
        <w:t> </w:t>
      </w:r>
      <w:r>
        <w:rPr>
          <w:sz w:val="24"/>
        </w:rPr>
        <w:t>groups.</w:t>
      </w:r>
    </w:p>
    <w:p>
      <w:pPr>
        <w:pStyle w:val="ListParagraph"/>
        <w:numPr>
          <w:ilvl w:val="1"/>
          <w:numId w:val="14"/>
        </w:numPr>
        <w:tabs>
          <w:tab w:pos="1537" w:val="left" w:leader="none"/>
          <w:tab w:pos="1538" w:val="left" w:leader="none"/>
        </w:tabs>
        <w:spacing w:line="240" w:lineRule="auto" w:before="38" w:after="0"/>
        <w:ind w:left="1538" w:right="0" w:hanging="358"/>
        <w:jc w:val="left"/>
        <w:rPr>
          <w:sz w:val="24"/>
        </w:rPr>
      </w:pPr>
      <w:r>
        <w:rPr>
          <w:sz w:val="24"/>
        </w:rPr>
        <w:t>Bankruptcies on over-leveraged</w:t>
      </w:r>
      <w:r>
        <w:rPr>
          <w:spacing w:val="-32"/>
          <w:sz w:val="24"/>
        </w:rPr>
        <w:t> </w:t>
      </w:r>
      <w:r>
        <w:rPr>
          <w:sz w:val="24"/>
        </w:rPr>
        <w:t>properties</w:t>
      </w:r>
    </w:p>
    <w:p>
      <w:pPr>
        <w:pStyle w:val="ListParagraph"/>
        <w:numPr>
          <w:ilvl w:val="1"/>
          <w:numId w:val="14"/>
        </w:numPr>
        <w:tabs>
          <w:tab w:pos="1537" w:val="left" w:leader="none"/>
          <w:tab w:pos="1538" w:val="left" w:leader="none"/>
        </w:tabs>
        <w:spacing w:line="240" w:lineRule="auto" w:before="37" w:after="0"/>
        <w:ind w:left="1538" w:right="0" w:hanging="358"/>
        <w:jc w:val="left"/>
        <w:rPr>
          <w:sz w:val="24"/>
        </w:rPr>
      </w:pPr>
      <w:r>
        <w:rPr>
          <w:sz w:val="24"/>
        </w:rPr>
        <w:t>Financial</w:t>
      </w:r>
      <w:r>
        <w:rPr>
          <w:spacing w:val="-22"/>
          <w:sz w:val="24"/>
        </w:rPr>
        <w:t> </w:t>
      </w:r>
      <w:r>
        <w:rPr>
          <w:sz w:val="24"/>
        </w:rPr>
        <w:t>mismanagement</w:t>
      </w:r>
    </w:p>
    <w:p>
      <w:pPr>
        <w:pStyle w:val="ListParagraph"/>
        <w:numPr>
          <w:ilvl w:val="1"/>
          <w:numId w:val="14"/>
        </w:numPr>
        <w:tabs>
          <w:tab w:pos="1537" w:val="left" w:leader="none"/>
          <w:tab w:pos="1538" w:val="left" w:leader="none"/>
        </w:tabs>
        <w:spacing w:line="240" w:lineRule="auto" w:before="37" w:after="0"/>
        <w:ind w:left="1538" w:right="0" w:hanging="358"/>
        <w:jc w:val="left"/>
        <w:rPr>
          <w:sz w:val="24"/>
        </w:rPr>
      </w:pPr>
      <w:r>
        <w:rPr>
          <w:sz w:val="24"/>
        </w:rPr>
        <w:t>Over-extended</w:t>
      </w:r>
      <w:r>
        <w:rPr>
          <w:spacing w:val="-15"/>
          <w:sz w:val="24"/>
        </w:rPr>
        <w:t> </w:t>
      </w:r>
      <w:r>
        <w:rPr>
          <w:sz w:val="24"/>
        </w:rPr>
        <w:t>credit</w:t>
      </w:r>
    </w:p>
    <w:p>
      <w:pPr>
        <w:pStyle w:val="ListParagraph"/>
        <w:numPr>
          <w:ilvl w:val="1"/>
          <w:numId w:val="14"/>
        </w:numPr>
        <w:tabs>
          <w:tab w:pos="1541" w:val="left" w:leader="none"/>
        </w:tabs>
        <w:spacing w:line="271" w:lineRule="auto" w:before="37" w:after="0"/>
        <w:ind w:left="1540" w:right="114" w:hanging="360"/>
        <w:jc w:val="both"/>
        <w:rPr>
          <w:sz w:val="24"/>
        </w:rPr>
      </w:pPr>
      <w:r>
        <w:rPr>
          <w:sz w:val="24"/>
        </w:rPr>
        <w:t>Exploitive</w:t>
      </w:r>
      <w:r>
        <w:rPr>
          <w:spacing w:val="-16"/>
          <w:sz w:val="24"/>
        </w:rPr>
        <w:t> </w:t>
      </w:r>
      <w:r>
        <w:rPr>
          <w:sz w:val="24"/>
        </w:rPr>
        <w:t>leases</w:t>
      </w:r>
      <w:r>
        <w:rPr>
          <w:spacing w:val="-16"/>
          <w:sz w:val="24"/>
        </w:rPr>
        <w:t> </w:t>
      </w:r>
      <w:r>
        <w:rPr>
          <w:sz w:val="24"/>
        </w:rPr>
        <w:t>held</w:t>
      </w:r>
      <w:r>
        <w:rPr>
          <w:spacing w:val="-18"/>
          <w:sz w:val="24"/>
        </w:rPr>
        <w:t> </w:t>
      </w:r>
      <w:r>
        <w:rPr>
          <w:sz w:val="24"/>
        </w:rPr>
        <w:t>by</w:t>
      </w:r>
      <w:r>
        <w:rPr>
          <w:spacing w:val="-19"/>
          <w:sz w:val="24"/>
        </w:rPr>
        <w:t> </w:t>
      </w:r>
      <w:r>
        <w:rPr>
          <w:sz w:val="24"/>
        </w:rPr>
        <w:t>the</w:t>
      </w:r>
      <w:r>
        <w:rPr>
          <w:spacing w:val="-16"/>
          <w:sz w:val="24"/>
        </w:rPr>
        <w:t> </w:t>
      </w:r>
      <w:r>
        <w:rPr>
          <w:sz w:val="24"/>
        </w:rPr>
        <w:t>same</w:t>
      </w:r>
      <w:r>
        <w:rPr>
          <w:spacing w:val="-18"/>
          <w:sz w:val="24"/>
        </w:rPr>
        <w:t> </w:t>
      </w:r>
      <w:r>
        <w:rPr>
          <w:sz w:val="24"/>
        </w:rPr>
        <w:t>owners</w:t>
      </w:r>
      <w:r>
        <w:rPr>
          <w:spacing w:val="-17"/>
          <w:sz w:val="24"/>
        </w:rPr>
        <w:t> </w:t>
      </w:r>
      <w:r>
        <w:rPr>
          <w:sz w:val="24"/>
        </w:rPr>
        <w:t>(charter</w:t>
      </w:r>
      <w:r>
        <w:rPr>
          <w:spacing w:val="-17"/>
          <w:sz w:val="24"/>
        </w:rPr>
        <w:t> </w:t>
      </w:r>
      <w:r>
        <w:rPr>
          <w:sz w:val="24"/>
        </w:rPr>
        <w:t>holders)</w:t>
      </w:r>
      <w:r>
        <w:rPr>
          <w:spacing w:val="-18"/>
          <w:sz w:val="24"/>
        </w:rPr>
        <w:t> </w:t>
      </w:r>
      <w:r>
        <w:rPr>
          <w:sz w:val="24"/>
        </w:rPr>
        <w:t>and</w:t>
      </w:r>
      <w:r>
        <w:rPr>
          <w:spacing w:val="-18"/>
          <w:sz w:val="24"/>
        </w:rPr>
        <w:t> </w:t>
      </w:r>
      <w:r>
        <w:rPr>
          <w:sz w:val="24"/>
        </w:rPr>
        <w:t>boards</w:t>
      </w:r>
      <w:r>
        <w:rPr>
          <w:spacing w:val="-16"/>
          <w:sz w:val="24"/>
        </w:rPr>
        <w:t> </w:t>
      </w:r>
      <w:r>
        <w:rPr>
          <w:sz w:val="24"/>
        </w:rPr>
        <w:t>that hold the properties (using different corporate entities for each aspect of</w:t>
      </w:r>
      <w:r>
        <w:rPr>
          <w:spacing w:val="-29"/>
          <w:sz w:val="24"/>
        </w:rPr>
        <w:t> </w:t>
      </w:r>
      <w:r>
        <w:rPr>
          <w:sz w:val="24"/>
        </w:rPr>
        <w:t>the subsidiary</w:t>
      </w:r>
      <w:r>
        <w:rPr>
          <w:spacing w:val="-18"/>
          <w:sz w:val="24"/>
        </w:rPr>
        <w:t> </w:t>
      </w:r>
      <w:r>
        <w:rPr>
          <w:sz w:val="24"/>
        </w:rPr>
        <w:t>operations)</w:t>
      </w:r>
    </w:p>
    <w:p>
      <w:pPr>
        <w:pStyle w:val="ListParagraph"/>
        <w:numPr>
          <w:ilvl w:val="1"/>
          <w:numId w:val="14"/>
        </w:numPr>
        <w:tabs>
          <w:tab w:pos="1537" w:val="left" w:leader="none"/>
          <w:tab w:pos="1538" w:val="left" w:leader="none"/>
        </w:tabs>
        <w:spacing w:line="240" w:lineRule="auto" w:before="6" w:after="0"/>
        <w:ind w:left="1538" w:right="0" w:hanging="358"/>
        <w:jc w:val="left"/>
        <w:rPr>
          <w:sz w:val="24"/>
        </w:rPr>
      </w:pPr>
      <w:r>
        <w:rPr>
          <w:sz w:val="24"/>
        </w:rPr>
        <w:t>Profiteering through management fees and occupancy</w:t>
      </w:r>
      <w:r>
        <w:rPr>
          <w:spacing w:val="-53"/>
          <w:sz w:val="24"/>
        </w:rPr>
        <w:t> </w:t>
      </w:r>
      <w:r>
        <w:rPr>
          <w:sz w:val="24"/>
        </w:rPr>
        <w:t>costs</w:t>
      </w:r>
    </w:p>
    <w:p>
      <w:pPr>
        <w:pStyle w:val="ListParagraph"/>
        <w:numPr>
          <w:ilvl w:val="1"/>
          <w:numId w:val="14"/>
        </w:numPr>
        <w:tabs>
          <w:tab w:pos="1541" w:val="left" w:leader="none"/>
        </w:tabs>
        <w:spacing w:line="271" w:lineRule="auto" w:before="34" w:after="0"/>
        <w:ind w:left="1540" w:right="110" w:hanging="360"/>
        <w:jc w:val="both"/>
        <w:rPr>
          <w:sz w:val="24"/>
        </w:rPr>
      </w:pPr>
      <w:r>
        <w:rPr>
          <w:sz w:val="24"/>
        </w:rPr>
        <w:t>And most seriously, by related-party transactions at </w:t>
      </w:r>
      <w:r>
        <w:rPr>
          <w:b/>
          <w:sz w:val="24"/>
        </w:rPr>
        <w:t>77% </w:t>
      </w:r>
      <w:r>
        <w:rPr>
          <w:sz w:val="24"/>
        </w:rPr>
        <w:t>of all the charters studied. (100% of ASBCS audits and financials from multiple years were reviewed for this</w:t>
      </w:r>
      <w:r>
        <w:rPr>
          <w:spacing w:val="-20"/>
          <w:sz w:val="24"/>
        </w:rPr>
        <w:t> </w:t>
      </w:r>
      <w:r>
        <w:rPr>
          <w:sz w:val="24"/>
        </w:rPr>
        <w:t>study.)</w:t>
      </w:r>
    </w:p>
    <w:p>
      <w:pPr>
        <w:pStyle w:val="BodyText"/>
        <w:spacing w:line="271" w:lineRule="auto" w:before="166"/>
        <w:ind w:left="100" w:right="120"/>
        <w:jc w:val="both"/>
      </w:pPr>
      <w:r>
        <w:rPr/>
        <w:t>These and other financial and governance issues will be explored and evaluated as factors in the second report in this series, </w:t>
      </w:r>
      <w:r>
        <w:rPr>
          <w:i/>
        </w:rPr>
        <w:t>Red Flags</w:t>
      </w:r>
      <w:r>
        <w:rPr/>
        <w:t>.</w:t>
      </w:r>
    </w:p>
    <w:p>
      <w:pPr>
        <w:spacing w:before="207"/>
        <w:ind w:left="100" w:right="0" w:firstLine="0"/>
        <w:jc w:val="both"/>
        <w:rPr>
          <w:b/>
          <w:sz w:val="22"/>
        </w:rPr>
      </w:pPr>
      <w:bookmarkStart w:name="_bookmark71" w:id="72"/>
      <w:bookmarkEnd w:id="72"/>
      <w:r>
        <w:rPr/>
      </w:r>
      <w:r>
        <w:rPr>
          <w:b/>
          <w:color w:val="4F81BC"/>
          <w:sz w:val="22"/>
        </w:rPr>
        <w:t>About the Author</w:t>
      </w:r>
    </w:p>
    <w:p>
      <w:pPr>
        <w:spacing w:line="278" w:lineRule="auto" w:before="38"/>
        <w:ind w:left="100" w:right="119" w:firstLine="0"/>
        <w:jc w:val="both"/>
        <w:rPr>
          <w:i/>
          <w:sz w:val="24"/>
        </w:rPr>
      </w:pPr>
      <w:r>
        <w:rPr>
          <w:i/>
          <w:sz w:val="24"/>
        </w:rPr>
        <w:t>Curtis Cardine is a fellow for the Grand Canyon Institute and can be reached at </w:t>
      </w:r>
      <w:hyperlink r:id="rId67">
        <w:r>
          <w:rPr>
            <w:i/>
            <w:sz w:val="24"/>
          </w:rPr>
          <w:t>CCardine@azgci.org</w:t>
        </w:r>
      </w:hyperlink>
    </w:p>
    <w:p>
      <w:pPr>
        <w:spacing w:line="276" w:lineRule="auto" w:before="199"/>
        <w:ind w:left="100" w:right="109" w:firstLine="0"/>
        <w:jc w:val="both"/>
        <w:rPr>
          <w:i/>
          <w:sz w:val="24"/>
        </w:rPr>
      </w:pPr>
      <w:r>
        <w:rPr>
          <w:i/>
          <w:sz w:val="24"/>
        </w:rPr>
        <w:t>Mr. Cardine was Superintendent of Schools for a large school multi-district supervisory </w:t>
      </w:r>
      <w:r>
        <w:rPr>
          <w:i/>
          <w:sz w:val="24"/>
        </w:rPr>
        <w:t>union in Southwestern New Hampshire. The supervisory union was comprised of three districts with over 5,000 students. Mr. Cardine established public charter schools in New Hampshire</w:t>
      </w:r>
      <w:r>
        <w:rPr>
          <w:i/>
          <w:spacing w:val="-16"/>
          <w:sz w:val="24"/>
        </w:rPr>
        <w:t> </w:t>
      </w:r>
      <w:r>
        <w:rPr>
          <w:i/>
          <w:sz w:val="24"/>
        </w:rPr>
        <w:t>in</w:t>
      </w:r>
      <w:r>
        <w:rPr>
          <w:i/>
          <w:spacing w:val="-16"/>
          <w:sz w:val="24"/>
        </w:rPr>
        <w:t> </w:t>
      </w:r>
      <w:r>
        <w:rPr>
          <w:i/>
          <w:sz w:val="24"/>
        </w:rPr>
        <w:t>1999</w:t>
      </w:r>
      <w:r>
        <w:rPr>
          <w:i/>
          <w:spacing w:val="-16"/>
          <w:sz w:val="24"/>
        </w:rPr>
        <w:t> </w:t>
      </w:r>
      <w:r>
        <w:rPr>
          <w:i/>
          <w:sz w:val="24"/>
        </w:rPr>
        <w:t>with</w:t>
      </w:r>
      <w:r>
        <w:rPr>
          <w:i/>
          <w:spacing w:val="-16"/>
          <w:sz w:val="24"/>
        </w:rPr>
        <w:t> </w:t>
      </w:r>
      <w:r>
        <w:rPr>
          <w:i/>
          <w:sz w:val="24"/>
        </w:rPr>
        <w:t>local</w:t>
      </w:r>
      <w:r>
        <w:rPr>
          <w:i/>
          <w:spacing w:val="-17"/>
          <w:sz w:val="24"/>
        </w:rPr>
        <w:t> </w:t>
      </w:r>
      <w:r>
        <w:rPr>
          <w:i/>
          <w:sz w:val="24"/>
        </w:rPr>
        <w:t>funding</w:t>
      </w:r>
      <w:r>
        <w:rPr>
          <w:i/>
          <w:spacing w:val="-15"/>
          <w:sz w:val="24"/>
        </w:rPr>
        <w:t> </w:t>
      </w:r>
      <w:r>
        <w:rPr>
          <w:i/>
          <w:sz w:val="24"/>
        </w:rPr>
        <w:t>and</w:t>
      </w:r>
      <w:r>
        <w:rPr>
          <w:i/>
          <w:spacing w:val="-16"/>
          <w:sz w:val="24"/>
        </w:rPr>
        <w:t> </w:t>
      </w:r>
      <w:r>
        <w:rPr>
          <w:i/>
          <w:sz w:val="24"/>
        </w:rPr>
        <w:t>then</w:t>
      </w:r>
      <w:r>
        <w:rPr>
          <w:i/>
          <w:spacing w:val="-16"/>
          <w:sz w:val="24"/>
        </w:rPr>
        <w:t> </w:t>
      </w:r>
      <w:r>
        <w:rPr>
          <w:i/>
          <w:sz w:val="24"/>
        </w:rPr>
        <w:t>expanded</w:t>
      </w:r>
      <w:r>
        <w:rPr>
          <w:i/>
          <w:spacing w:val="-16"/>
          <w:sz w:val="24"/>
        </w:rPr>
        <w:t> </w:t>
      </w:r>
      <w:r>
        <w:rPr>
          <w:i/>
          <w:sz w:val="24"/>
        </w:rPr>
        <w:t>the</w:t>
      </w:r>
      <w:r>
        <w:rPr>
          <w:i/>
          <w:spacing w:val="-16"/>
          <w:sz w:val="24"/>
        </w:rPr>
        <w:t> </w:t>
      </w:r>
      <w:r>
        <w:rPr>
          <w:i/>
          <w:sz w:val="24"/>
        </w:rPr>
        <w:t>program</w:t>
      </w:r>
      <w:r>
        <w:rPr>
          <w:i/>
          <w:spacing w:val="-19"/>
          <w:sz w:val="24"/>
        </w:rPr>
        <w:t> </w:t>
      </w:r>
      <w:r>
        <w:rPr>
          <w:i/>
          <w:sz w:val="24"/>
        </w:rPr>
        <w:t>using</w:t>
      </w:r>
      <w:r>
        <w:rPr>
          <w:i/>
          <w:spacing w:val="-9"/>
          <w:sz w:val="24"/>
        </w:rPr>
        <w:t> </w:t>
      </w:r>
      <w:r>
        <w:rPr>
          <w:i/>
          <w:sz w:val="24"/>
        </w:rPr>
        <w:t>federal</w:t>
      </w:r>
      <w:r>
        <w:rPr>
          <w:i/>
          <w:spacing w:val="-17"/>
          <w:sz w:val="24"/>
        </w:rPr>
        <w:t> </w:t>
      </w:r>
      <w:r>
        <w:rPr>
          <w:i/>
          <w:sz w:val="24"/>
        </w:rPr>
        <w:t>public charter school grant</w:t>
      </w:r>
      <w:r>
        <w:rPr>
          <w:i/>
          <w:spacing w:val="-11"/>
          <w:sz w:val="24"/>
        </w:rPr>
        <w:t> </w:t>
      </w:r>
      <w:r>
        <w:rPr>
          <w:i/>
          <w:sz w:val="24"/>
        </w:rPr>
        <w:t>money.</w:t>
      </w:r>
    </w:p>
    <w:p>
      <w:pPr>
        <w:spacing w:line="276" w:lineRule="auto" w:before="201"/>
        <w:ind w:left="100" w:right="112" w:firstLine="0"/>
        <w:jc w:val="both"/>
        <w:rPr>
          <w:i/>
          <w:sz w:val="24"/>
        </w:rPr>
      </w:pPr>
      <w:r>
        <w:rPr>
          <w:i/>
          <w:sz w:val="24"/>
        </w:rPr>
        <w:t>Prior to becoming a superintendent in New Hampshire, Mr. Cardine served as an </w:t>
      </w:r>
      <w:r>
        <w:rPr>
          <w:i/>
          <w:sz w:val="24"/>
        </w:rPr>
        <w:t>elementary school principal in Troy, New Hampshire (3 years) and as a principal (13 years) and teacher (11 years) in Winchester, New Hampshire two of the least affluent schools</w:t>
      </w:r>
      <w:r>
        <w:rPr>
          <w:i/>
          <w:spacing w:val="-8"/>
          <w:sz w:val="24"/>
        </w:rPr>
        <w:t> </w:t>
      </w:r>
      <w:r>
        <w:rPr>
          <w:i/>
          <w:sz w:val="24"/>
        </w:rPr>
        <w:t>in</w:t>
      </w:r>
      <w:r>
        <w:rPr>
          <w:i/>
          <w:spacing w:val="-10"/>
          <w:sz w:val="24"/>
        </w:rPr>
        <w:t> </w:t>
      </w:r>
      <w:r>
        <w:rPr>
          <w:i/>
          <w:sz w:val="24"/>
        </w:rPr>
        <w:t>that</w:t>
      </w:r>
      <w:r>
        <w:rPr>
          <w:i/>
          <w:spacing w:val="-7"/>
          <w:sz w:val="24"/>
        </w:rPr>
        <w:t> </w:t>
      </w:r>
      <w:r>
        <w:rPr>
          <w:i/>
          <w:sz w:val="24"/>
        </w:rPr>
        <w:t>state.</w:t>
      </w:r>
      <w:r>
        <w:rPr>
          <w:i/>
          <w:spacing w:val="-7"/>
          <w:sz w:val="24"/>
        </w:rPr>
        <w:t> </w:t>
      </w:r>
      <w:r>
        <w:rPr>
          <w:i/>
          <w:sz w:val="24"/>
        </w:rPr>
        <w:t>During</w:t>
      </w:r>
      <w:r>
        <w:rPr>
          <w:i/>
          <w:spacing w:val="-7"/>
          <w:sz w:val="24"/>
        </w:rPr>
        <w:t> </w:t>
      </w:r>
      <w:r>
        <w:rPr>
          <w:i/>
          <w:sz w:val="24"/>
        </w:rPr>
        <w:t>that</w:t>
      </w:r>
      <w:r>
        <w:rPr>
          <w:i/>
          <w:spacing w:val="-7"/>
          <w:sz w:val="24"/>
        </w:rPr>
        <w:t> </w:t>
      </w:r>
      <w:r>
        <w:rPr>
          <w:i/>
          <w:sz w:val="24"/>
        </w:rPr>
        <w:t>time</w:t>
      </w:r>
      <w:r>
        <w:rPr>
          <w:i/>
          <w:spacing w:val="-7"/>
          <w:sz w:val="24"/>
        </w:rPr>
        <w:t> </w:t>
      </w:r>
      <w:r>
        <w:rPr>
          <w:i/>
          <w:sz w:val="24"/>
        </w:rPr>
        <w:t>he</w:t>
      </w:r>
      <w:r>
        <w:rPr>
          <w:i/>
          <w:spacing w:val="-7"/>
          <w:sz w:val="24"/>
        </w:rPr>
        <w:t> </w:t>
      </w:r>
      <w:r>
        <w:rPr>
          <w:i/>
          <w:sz w:val="24"/>
        </w:rPr>
        <w:t>created</w:t>
      </w:r>
      <w:r>
        <w:rPr>
          <w:i/>
          <w:spacing w:val="-7"/>
          <w:sz w:val="24"/>
        </w:rPr>
        <w:t> </w:t>
      </w:r>
      <w:r>
        <w:rPr>
          <w:i/>
          <w:sz w:val="24"/>
        </w:rPr>
        <w:t>public</w:t>
      </w:r>
      <w:r>
        <w:rPr>
          <w:i/>
          <w:spacing w:val="-8"/>
          <w:sz w:val="24"/>
        </w:rPr>
        <w:t> </w:t>
      </w:r>
      <w:r>
        <w:rPr>
          <w:i/>
          <w:sz w:val="24"/>
        </w:rPr>
        <w:t>school</w:t>
      </w:r>
      <w:r>
        <w:rPr>
          <w:i/>
          <w:spacing w:val="-8"/>
          <w:sz w:val="24"/>
        </w:rPr>
        <w:t> </w:t>
      </w:r>
      <w:r>
        <w:rPr>
          <w:i/>
          <w:sz w:val="24"/>
        </w:rPr>
        <w:t>options</w:t>
      </w:r>
      <w:r>
        <w:rPr>
          <w:i/>
          <w:spacing w:val="-8"/>
          <w:sz w:val="24"/>
        </w:rPr>
        <w:t> </w:t>
      </w:r>
      <w:r>
        <w:rPr>
          <w:i/>
          <w:sz w:val="24"/>
        </w:rPr>
        <w:t>for</w:t>
      </w:r>
      <w:r>
        <w:rPr>
          <w:i/>
          <w:spacing w:val="-8"/>
          <w:sz w:val="24"/>
        </w:rPr>
        <w:t> </w:t>
      </w:r>
      <w:r>
        <w:rPr>
          <w:i/>
          <w:sz w:val="24"/>
        </w:rPr>
        <w:t>highly</w:t>
      </w:r>
      <w:r>
        <w:rPr>
          <w:i/>
          <w:spacing w:val="-8"/>
          <w:sz w:val="24"/>
        </w:rPr>
        <w:t> </w:t>
      </w:r>
      <w:r>
        <w:rPr>
          <w:i/>
          <w:sz w:val="24"/>
        </w:rPr>
        <w:t>involved multiple handicapped children and a highly recognized program for autistic children. He has</w:t>
      </w:r>
      <w:r>
        <w:rPr>
          <w:i/>
          <w:spacing w:val="-8"/>
          <w:sz w:val="24"/>
        </w:rPr>
        <w:t> </w:t>
      </w:r>
      <w:r>
        <w:rPr>
          <w:i/>
          <w:sz w:val="24"/>
        </w:rPr>
        <w:t>taught</w:t>
      </w:r>
      <w:r>
        <w:rPr>
          <w:i/>
          <w:spacing w:val="-8"/>
          <w:sz w:val="24"/>
        </w:rPr>
        <w:t> </w:t>
      </w:r>
      <w:r>
        <w:rPr>
          <w:i/>
          <w:sz w:val="24"/>
        </w:rPr>
        <w:t>in</w:t>
      </w:r>
      <w:r>
        <w:rPr>
          <w:i/>
          <w:spacing w:val="-10"/>
          <w:sz w:val="24"/>
        </w:rPr>
        <w:t> </w:t>
      </w:r>
      <w:r>
        <w:rPr>
          <w:i/>
          <w:sz w:val="24"/>
        </w:rPr>
        <w:t>every</w:t>
      </w:r>
      <w:r>
        <w:rPr>
          <w:i/>
          <w:spacing w:val="-9"/>
          <w:sz w:val="24"/>
        </w:rPr>
        <w:t> </w:t>
      </w:r>
      <w:r>
        <w:rPr>
          <w:i/>
          <w:sz w:val="24"/>
        </w:rPr>
        <w:t>grade</w:t>
      </w:r>
      <w:r>
        <w:rPr>
          <w:i/>
          <w:spacing w:val="-8"/>
          <w:sz w:val="24"/>
        </w:rPr>
        <w:t> </w:t>
      </w:r>
      <w:r>
        <w:rPr>
          <w:i/>
          <w:sz w:val="24"/>
        </w:rPr>
        <w:t>from</w:t>
      </w:r>
      <w:r>
        <w:rPr>
          <w:i/>
          <w:spacing w:val="-11"/>
          <w:sz w:val="24"/>
        </w:rPr>
        <w:t> </w:t>
      </w:r>
      <w:r>
        <w:rPr>
          <w:i/>
          <w:sz w:val="24"/>
        </w:rPr>
        <w:t>Kindergarten</w:t>
      </w:r>
      <w:r>
        <w:rPr>
          <w:i/>
          <w:spacing w:val="-8"/>
          <w:sz w:val="24"/>
        </w:rPr>
        <w:t> </w:t>
      </w:r>
      <w:r>
        <w:rPr>
          <w:i/>
          <w:sz w:val="24"/>
        </w:rPr>
        <w:t>through</w:t>
      </w:r>
      <w:r>
        <w:rPr>
          <w:i/>
          <w:spacing w:val="-8"/>
          <w:sz w:val="24"/>
        </w:rPr>
        <w:t> </w:t>
      </w:r>
      <w:r>
        <w:rPr>
          <w:i/>
          <w:sz w:val="24"/>
        </w:rPr>
        <w:t>the</w:t>
      </w:r>
      <w:r>
        <w:rPr>
          <w:i/>
          <w:spacing w:val="-8"/>
          <w:sz w:val="24"/>
        </w:rPr>
        <w:t> </w:t>
      </w:r>
      <w:r>
        <w:rPr>
          <w:i/>
          <w:sz w:val="24"/>
        </w:rPr>
        <w:t>Graduate</w:t>
      </w:r>
      <w:r>
        <w:rPr>
          <w:i/>
          <w:spacing w:val="-8"/>
          <w:sz w:val="24"/>
        </w:rPr>
        <w:t> </w:t>
      </w:r>
      <w:r>
        <w:rPr>
          <w:i/>
          <w:sz w:val="24"/>
        </w:rPr>
        <w:t>Level.</w:t>
      </w:r>
      <w:r>
        <w:rPr>
          <w:i/>
          <w:spacing w:val="-8"/>
          <w:sz w:val="24"/>
        </w:rPr>
        <w:t> </w:t>
      </w:r>
      <w:r>
        <w:rPr>
          <w:i/>
          <w:sz w:val="24"/>
        </w:rPr>
        <w:t>His</w:t>
      </w:r>
      <w:r>
        <w:rPr>
          <w:i/>
          <w:spacing w:val="-8"/>
          <w:sz w:val="24"/>
        </w:rPr>
        <w:t> </w:t>
      </w:r>
      <w:r>
        <w:rPr>
          <w:i/>
          <w:sz w:val="24"/>
        </w:rPr>
        <w:t>expertise</w:t>
      </w:r>
      <w:r>
        <w:rPr>
          <w:i/>
          <w:spacing w:val="-8"/>
          <w:sz w:val="24"/>
        </w:rPr>
        <w:t> </w:t>
      </w:r>
      <w:r>
        <w:rPr>
          <w:i/>
          <w:sz w:val="24"/>
        </w:rPr>
        <w:t>is in mathematics, school finance, school law and leadership and</w:t>
      </w:r>
      <w:r>
        <w:rPr>
          <w:i/>
          <w:spacing w:val="-31"/>
          <w:sz w:val="24"/>
        </w:rPr>
        <w:t> </w:t>
      </w:r>
      <w:r>
        <w:rPr>
          <w:i/>
          <w:sz w:val="24"/>
        </w:rPr>
        <w:t>change.</w:t>
      </w:r>
    </w:p>
    <w:p>
      <w:pPr>
        <w:spacing w:after="0" w:line="276" w:lineRule="auto"/>
        <w:jc w:val="both"/>
        <w:rPr>
          <w:sz w:val="24"/>
        </w:rPr>
        <w:sectPr>
          <w:pgSz w:w="12240" w:h="15840"/>
          <w:pgMar w:header="740" w:footer="978" w:top="940" w:bottom="1200" w:left="1340" w:right="1320"/>
        </w:sectPr>
      </w:pPr>
    </w:p>
    <w:p>
      <w:pPr>
        <w:pStyle w:val="BodyText"/>
        <w:rPr>
          <w:i/>
          <w:sz w:val="20"/>
        </w:rPr>
      </w:pPr>
    </w:p>
    <w:p>
      <w:pPr>
        <w:pStyle w:val="BodyText"/>
        <w:spacing w:before="2"/>
        <w:rPr>
          <w:i/>
          <w:sz w:val="21"/>
        </w:rPr>
      </w:pPr>
    </w:p>
    <w:p>
      <w:pPr>
        <w:spacing w:line="276" w:lineRule="auto" w:before="1"/>
        <w:ind w:left="100" w:right="114" w:firstLine="0"/>
        <w:jc w:val="both"/>
        <w:rPr>
          <w:i/>
          <w:sz w:val="24"/>
        </w:rPr>
      </w:pPr>
      <w:r>
        <w:rPr>
          <w:i/>
          <w:sz w:val="24"/>
        </w:rPr>
        <w:t>The New Hampshire charter schools noted have won recognition from ASCD and were </w:t>
      </w:r>
      <w:r>
        <w:rPr>
          <w:i/>
          <w:sz w:val="24"/>
        </w:rPr>
        <w:t>featured</w:t>
      </w:r>
      <w:r>
        <w:rPr>
          <w:i/>
          <w:spacing w:val="-12"/>
          <w:sz w:val="24"/>
        </w:rPr>
        <w:t> </w:t>
      </w:r>
      <w:r>
        <w:rPr>
          <w:i/>
          <w:sz w:val="24"/>
        </w:rPr>
        <w:t>in</w:t>
      </w:r>
      <w:r>
        <w:rPr>
          <w:i/>
          <w:spacing w:val="-12"/>
          <w:sz w:val="24"/>
        </w:rPr>
        <w:t> </w:t>
      </w:r>
      <w:r>
        <w:rPr>
          <w:i/>
          <w:sz w:val="24"/>
        </w:rPr>
        <w:t>Sam</w:t>
      </w:r>
      <w:r>
        <w:rPr>
          <w:i/>
          <w:spacing w:val="-16"/>
          <w:sz w:val="24"/>
        </w:rPr>
        <w:t> </w:t>
      </w:r>
      <w:r>
        <w:rPr>
          <w:i/>
          <w:sz w:val="24"/>
        </w:rPr>
        <w:t>Chaltain’s,</w:t>
      </w:r>
      <w:r>
        <w:rPr>
          <w:i/>
          <w:spacing w:val="-12"/>
          <w:sz w:val="24"/>
        </w:rPr>
        <w:t> </w:t>
      </w:r>
      <w:r>
        <w:rPr>
          <w:i/>
          <w:sz w:val="24"/>
        </w:rPr>
        <w:t>American</w:t>
      </w:r>
      <w:r>
        <w:rPr>
          <w:i/>
          <w:spacing w:val="-12"/>
          <w:sz w:val="24"/>
        </w:rPr>
        <w:t> </w:t>
      </w:r>
      <w:r>
        <w:rPr>
          <w:i/>
          <w:sz w:val="24"/>
        </w:rPr>
        <w:t>Schools.</w:t>
      </w:r>
      <w:r>
        <w:rPr>
          <w:i/>
          <w:spacing w:val="-12"/>
          <w:sz w:val="24"/>
        </w:rPr>
        <w:t> </w:t>
      </w:r>
      <w:r>
        <w:rPr>
          <w:i/>
          <w:sz w:val="24"/>
        </w:rPr>
        <w:t>They,</w:t>
      </w:r>
      <w:r>
        <w:rPr>
          <w:i/>
          <w:spacing w:val="-12"/>
          <w:sz w:val="24"/>
        </w:rPr>
        <w:t> </w:t>
      </w:r>
      <w:r>
        <w:rPr>
          <w:i/>
          <w:sz w:val="24"/>
        </w:rPr>
        <w:t>and</w:t>
      </w:r>
      <w:r>
        <w:rPr>
          <w:i/>
          <w:spacing w:val="-12"/>
          <w:sz w:val="24"/>
        </w:rPr>
        <w:t> </w:t>
      </w:r>
      <w:r>
        <w:rPr>
          <w:i/>
          <w:sz w:val="24"/>
        </w:rPr>
        <w:t>the</w:t>
      </w:r>
      <w:r>
        <w:rPr>
          <w:i/>
          <w:spacing w:val="-12"/>
          <w:sz w:val="24"/>
        </w:rPr>
        <w:t> </w:t>
      </w:r>
      <w:r>
        <w:rPr>
          <w:i/>
          <w:sz w:val="24"/>
        </w:rPr>
        <w:t>Arizona</w:t>
      </w:r>
      <w:r>
        <w:rPr>
          <w:i/>
          <w:spacing w:val="-12"/>
          <w:sz w:val="24"/>
        </w:rPr>
        <w:t> </w:t>
      </w:r>
      <w:r>
        <w:rPr>
          <w:i/>
          <w:sz w:val="24"/>
        </w:rPr>
        <w:t>charter</w:t>
      </w:r>
      <w:r>
        <w:rPr>
          <w:i/>
          <w:spacing w:val="-13"/>
          <w:sz w:val="24"/>
        </w:rPr>
        <w:t> </w:t>
      </w:r>
      <w:r>
        <w:rPr>
          <w:i/>
          <w:sz w:val="24"/>
        </w:rPr>
        <w:t>schools</w:t>
      </w:r>
      <w:r>
        <w:rPr>
          <w:i/>
          <w:spacing w:val="-13"/>
          <w:sz w:val="24"/>
        </w:rPr>
        <w:t> </w:t>
      </w:r>
      <w:r>
        <w:rPr>
          <w:i/>
          <w:sz w:val="24"/>
        </w:rPr>
        <w:t>are still operating as stand-alone</w:t>
      </w:r>
      <w:r>
        <w:rPr>
          <w:i/>
          <w:spacing w:val="-9"/>
          <w:sz w:val="24"/>
        </w:rPr>
        <w:t> </w:t>
      </w:r>
      <w:r>
        <w:rPr>
          <w:i/>
          <w:sz w:val="24"/>
        </w:rPr>
        <w:t>charters.</w:t>
      </w:r>
    </w:p>
    <w:p>
      <w:pPr>
        <w:spacing w:before="204"/>
        <w:ind w:left="100" w:right="0" w:firstLine="0"/>
        <w:jc w:val="both"/>
        <w:rPr>
          <w:i/>
          <w:sz w:val="24"/>
        </w:rPr>
      </w:pPr>
      <w:r>
        <w:rPr>
          <w:i/>
          <w:sz w:val="24"/>
        </w:rPr>
        <w:t>Arizona Charter Experiences:</w:t>
      </w:r>
    </w:p>
    <w:p>
      <w:pPr>
        <w:pStyle w:val="BodyText"/>
        <w:spacing w:before="9"/>
        <w:rPr>
          <w:i/>
          <w:sz w:val="20"/>
        </w:rPr>
      </w:pPr>
    </w:p>
    <w:p>
      <w:pPr>
        <w:spacing w:line="278" w:lineRule="auto" w:before="0"/>
        <w:ind w:left="100" w:right="122" w:firstLine="0"/>
        <w:jc w:val="both"/>
        <w:rPr>
          <w:i/>
          <w:sz w:val="24"/>
        </w:rPr>
      </w:pPr>
      <w:r>
        <w:rPr>
          <w:i/>
          <w:sz w:val="24"/>
        </w:rPr>
        <w:t>Mr. Cardine opened other public charters as lead principal and then as a superintendent </w:t>
      </w:r>
      <w:r>
        <w:rPr>
          <w:i/>
          <w:sz w:val="24"/>
        </w:rPr>
        <w:t>in Arizona charter organizations.</w:t>
      </w:r>
    </w:p>
    <w:p>
      <w:pPr>
        <w:spacing w:line="276" w:lineRule="auto" w:before="197"/>
        <w:ind w:left="100" w:right="118" w:firstLine="0"/>
        <w:jc w:val="both"/>
        <w:rPr>
          <w:i/>
          <w:sz w:val="24"/>
        </w:rPr>
      </w:pPr>
      <w:r>
        <w:rPr>
          <w:i/>
          <w:sz w:val="24"/>
        </w:rPr>
        <w:t>He</w:t>
      </w:r>
      <w:r>
        <w:rPr>
          <w:i/>
          <w:spacing w:val="-7"/>
          <w:sz w:val="24"/>
        </w:rPr>
        <w:t> </w:t>
      </w:r>
      <w:r>
        <w:rPr>
          <w:i/>
          <w:sz w:val="24"/>
        </w:rPr>
        <w:t>moved</w:t>
      </w:r>
      <w:r>
        <w:rPr>
          <w:i/>
          <w:spacing w:val="-7"/>
          <w:sz w:val="24"/>
        </w:rPr>
        <w:t> </w:t>
      </w:r>
      <w:r>
        <w:rPr>
          <w:i/>
          <w:sz w:val="24"/>
        </w:rPr>
        <w:t>to</w:t>
      </w:r>
      <w:r>
        <w:rPr>
          <w:i/>
          <w:spacing w:val="-7"/>
          <w:sz w:val="24"/>
        </w:rPr>
        <w:t> </w:t>
      </w:r>
      <w:r>
        <w:rPr>
          <w:i/>
          <w:sz w:val="24"/>
        </w:rPr>
        <w:t>Arizona</w:t>
      </w:r>
      <w:r>
        <w:rPr>
          <w:i/>
          <w:spacing w:val="-7"/>
          <w:sz w:val="24"/>
        </w:rPr>
        <w:t> </w:t>
      </w:r>
      <w:r>
        <w:rPr>
          <w:i/>
          <w:sz w:val="24"/>
        </w:rPr>
        <w:t>in</w:t>
      </w:r>
      <w:r>
        <w:rPr>
          <w:i/>
          <w:spacing w:val="-7"/>
          <w:sz w:val="24"/>
        </w:rPr>
        <w:t> </w:t>
      </w:r>
      <w:r>
        <w:rPr>
          <w:i/>
          <w:sz w:val="24"/>
        </w:rPr>
        <w:t>2006.</w:t>
      </w:r>
      <w:r>
        <w:rPr>
          <w:i/>
          <w:spacing w:val="-7"/>
          <w:sz w:val="24"/>
        </w:rPr>
        <w:t> </w:t>
      </w:r>
      <w:r>
        <w:rPr>
          <w:i/>
          <w:sz w:val="24"/>
        </w:rPr>
        <w:t>From</w:t>
      </w:r>
      <w:r>
        <w:rPr>
          <w:i/>
          <w:spacing w:val="-10"/>
          <w:sz w:val="24"/>
        </w:rPr>
        <w:t> </w:t>
      </w:r>
      <w:r>
        <w:rPr>
          <w:i/>
          <w:sz w:val="24"/>
        </w:rPr>
        <w:t>2008</w:t>
      </w:r>
      <w:r>
        <w:rPr>
          <w:i/>
          <w:spacing w:val="-8"/>
          <w:sz w:val="24"/>
        </w:rPr>
        <w:t> </w:t>
      </w:r>
      <w:r>
        <w:rPr>
          <w:i/>
          <w:sz w:val="24"/>
        </w:rPr>
        <w:t>until</w:t>
      </w:r>
      <w:r>
        <w:rPr>
          <w:i/>
          <w:spacing w:val="-8"/>
          <w:sz w:val="24"/>
        </w:rPr>
        <w:t> </w:t>
      </w:r>
      <w:r>
        <w:rPr>
          <w:i/>
          <w:sz w:val="24"/>
        </w:rPr>
        <w:t>2015</w:t>
      </w:r>
      <w:r>
        <w:rPr>
          <w:i/>
          <w:spacing w:val="-8"/>
          <w:sz w:val="24"/>
        </w:rPr>
        <w:t> </w:t>
      </w:r>
      <w:r>
        <w:rPr>
          <w:i/>
          <w:sz w:val="24"/>
        </w:rPr>
        <w:t>he</w:t>
      </w:r>
      <w:r>
        <w:rPr>
          <w:i/>
          <w:spacing w:val="-8"/>
          <w:sz w:val="24"/>
        </w:rPr>
        <w:t> </w:t>
      </w:r>
      <w:r>
        <w:rPr>
          <w:i/>
          <w:sz w:val="24"/>
        </w:rPr>
        <w:t>worked</w:t>
      </w:r>
      <w:r>
        <w:rPr>
          <w:i/>
          <w:spacing w:val="-8"/>
          <w:sz w:val="24"/>
        </w:rPr>
        <w:t> </w:t>
      </w:r>
      <w:r>
        <w:rPr>
          <w:i/>
          <w:sz w:val="24"/>
        </w:rPr>
        <w:t>in</w:t>
      </w:r>
      <w:r>
        <w:rPr>
          <w:i/>
          <w:spacing w:val="-9"/>
          <w:sz w:val="24"/>
        </w:rPr>
        <w:t> </w:t>
      </w:r>
      <w:r>
        <w:rPr>
          <w:i/>
          <w:sz w:val="24"/>
        </w:rPr>
        <w:t>a</w:t>
      </w:r>
      <w:r>
        <w:rPr>
          <w:i/>
          <w:spacing w:val="-7"/>
          <w:sz w:val="24"/>
        </w:rPr>
        <w:t> </w:t>
      </w:r>
      <w:r>
        <w:rPr>
          <w:i/>
          <w:sz w:val="24"/>
        </w:rPr>
        <w:t>leadership</w:t>
      </w:r>
      <w:r>
        <w:rPr>
          <w:i/>
          <w:spacing w:val="-7"/>
          <w:sz w:val="24"/>
        </w:rPr>
        <w:t> </w:t>
      </w:r>
      <w:r>
        <w:rPr>
          <w:i/>
          <w:sz w:val="24"/>
        </w:rPr>
        <w:t>role</w:t>
      </w:r>
      <w:r>
        <w:rPr>
          <w:i/>
          <w:spacing w:val="-7"/>
          <w:sz w:val="24"/>
        </w:rPr>
        <w:t> </w:t>
      </w:r>
      <w:r>
        <w:rPr>
          <w:i/>
          <w:sz w:val="24"/>
        </w:rPr>
        <w:t>in</w:t>
      </w:r>
      <w:r>
        <w:rPr>
          <w:i/>
          <w:spacing w:val="-11"/>
          <w:sz w:val="24"/>
        </w:rPr>
        <w:t> </w:t>
      </w:r>
      <w:r>
        <w:rPr>
          <w:i/>
          <w:sz w:val="24"/>
        </w:rPr>
        <w:t>two </w:t>
      </w:r>
      <w:r>
        <w:rPr>
          <w:i/>
          <w:sz w:val="24"/>
        </w:rPr>
        <w:t>of Arizona’s larger charter companies. He has also run small and medium sized businesses. His experience in the business, charter and public school models informs this work and the philosophy that is evident in the</w:t>
      </w:r>
      <w:r>
        <w:rPr>
          <w:i/>
          <w:spacing w:val="-22"/>
          <w:sz w:val="24"/>
        </w:rPr>
        <w:t> </w:t>
      </w:r>
      <w:r>
        <w:rPr>
          <w:i/>
          <w:sz w:val="24"/>
        </w:rPr>
        <w:t>writing.</w:t>
      </w:r>
    </w:p>
    <w:p>
      <w:pPr>
        <w:spacing w:line="276" w:lineRule="auto" w:before="204"/>
        <w:ind w:left="100" w:right="117" w:firstLine="0"/>
        <w:jc w:val="both"/>
        <w:rPr>
          <w:i/>
          <w:sz w:val="24"/>
        </w:rPr>
      </w:pPr>
      <w:r>
        <w:rPr>
          <w:i/>
          <w:sz w:val="24"/>
        </w:rPr>
        <w:t>Mr. Cardine left both charter companies for the same reason. Ownership’s use of </w:t>
      </w:r>
      <w:r>
        <w:rPr>
          <w:i/>
          <w:sz w:val="24"/>
        </w:rPr>
        <w:t>situational business ethics applied to the financial and governance practices of those charter groups that were not in the best interest of children. This mismatch created a moral quandary that could not be resolved by working with the charter holders.</w:t>
      </w:r>
    </w:p>
    <w:p>
      <w:pPr>
        <w:pStyle w:val="BodyText"/>
        <w:rPr>
          <w:i/>
          <w:sz w:val="26"/>
        </w:rPr>
      </w:pPr>
    </w:p>
    <w:p>
      <w:pPr>
        <w:pStyle w:val="BodyText"/>
        <w:rPr>
          <w:i/>
          <w:sz w:val="26"/>
        </w:rPr>
      </w:pPr>
    </w:p>
    <w:p>
      <w:pPr>
        <w:pStyle w:val="BodyText"/>
        <w:spacing w:before="3"/>
        <w:rPr>
          <w:i/>
          <w:sz w:val="36"/>
        </w:rPr>
      </w:pPr>
    </w:p>
    <w:p>
      <w:pPr>
        <w:spacing w:before="0"/>
        <w:ind w:left="3532" w:right="3544" w:firstLine="0"/>
        <w:jc w:val="center"/>
        <w:rPr>
          <w:sz w:val="22"/>
        </w:rPr>
      </w:pPr>
      <w:r>
        <w:rPr>
          <w:sz w:val="22"/>
        </w:rPr>
        <w:t>Grand Canyon Institute</w:t>
      </w:r>
    </w:p>
    <w:p>
      <w:pPr>
        <w:spacing w:line="278" w:lineRule="auto" w:before="35"/>
        <w:ind w:left="3331" w:right="3330" w:firstLine="732"/>
        <w:jc w:val="left"/>
        <w:rPr>
          <w:sz w:val="22"/>
        </w:rPr>
      </w:pPr>
      <w:r>
        <w:rPr>
          <w:sz w:val="22"/>
        </w:rPr>
        <w:t>P.O. Box 1008 Phoenix, Arizona 85001-1008</w:t>
      </w:r>
    </w:p>
    <w:p>
      <w:pPr>
        <w:spacing w:line="251" w:lineRule="exact" w:before="0"/>
        <w:ind w:left="3532" w:right="3548" w:firstLine="0"/>
        <w:jc w:val="center"/>
        <w:rPr>
          <w:sz w:val="22"/>
        </w:rPr>
      </w:pPr>
      <w:r>
        <w:rPr>
          <w:sz w:val="22"/>
        </w:rPr>
        <w:t>GrandCanyonInsitute.org</w:t>
      </w:r>
    </w:p>
    <w:p>
      <w:pPr>
        <w:pStyle w:val="BodyText"/>
        <w:spacing w:before="8"/>
        <w:rPr>
          <w:sz w:val="28"/>
        </w:rPr>
      </w:pPr>
    </w:p>
    <w:p>
      <w:pPr>
        <w:spacing w:line="276" w:lineRule="auto" w:before="0"/>
        <w:ind w:left="100" w:right="191" w:firstLine="0"/>
        <w:jc w:val="left"/>
        <w:rPr>
          <w:sz w:val="22"/>
        </w:rPr>
      </w:pPr>
      <w:r>
        <w:rPr>
          <w:sz w:val="22"/>
        </w:rPr>
        <w:t>The Grand Canyon Institute, a 501(c) 3 nonprofit organization, is a centrist think tank led by a bipartisan group of former state lawmakers, economists, community leaders and academicians. The Grand Canyon Institute serves as an independent voice reflecting a pragmatic approach to addressing economic, fiscal, budgetary and taxation issues confronting Arizona.</w:t>
      </w:r>
    </w:p>
    <w:p>
      <w:pPr>
        <w:spacing w:after="0" w:line="276" w:lineRule="auto"/>
        <w:jc w:val="left"/>
        <w:rPr>
          <w:sz w:val="22"/>
        </w:rPr>
        <w:sectPr>
          <w:pgSz w:w="12240" w:h="15840"/>
          <w:pgMar w:header="740" w:footer="978" w:top="940" w:bottom="1200" w:left="1340" w:right="1320"/>
        </w:sectPr>
      </w:pPr>
    </w:p>
    <w:p>
      <w:pPr>
        <w:pStyle w:val="BodyText"/>
        <w:rPr>
          <w:sz w:val="20"/>
        </w:rPr>
      </w:pPr>
    </w:p>
    <w:p>
      <w:pPr>
        <w:pStyle w:val="BodyText"/>
        <w:spacing w:before="4"/>
        <w:rPr>
          <w:sz w:val="17"/>
        </w:rPr>
      </w:pPr>
    </w:p>
    <w:p>
      <w:pPr>
        <w:pStyle w:val="Heading1"/>
        <w:spacing w:before="91"/>
        <w:ind w:left="172"/>
        <w:jc w:val="both"/>
      </w:pPr>
      <w:bookmarkStart w:name="_bookmark72" w:id="73"/>
      <w:bookmarkEnd w:id="73"/>
      <w:r>
        <w:rPr/>
      </w:r>
      <w:r>
        <w:rPr>
          <w:color w:val="365F91"/>
        </w:rPr>
        <w:t>Bibliography:</w:t>
      </w:r>
    </w:p>
    <w:p>
      <w:pPr>
        <w:spacing w:before="240"/>
        <w:ind w:left="100" w:right="0" w:firstLine="0"/>
        <w:jc w:val="both"/>
        <w:rPr>
          <w:b/>
          <w:sz w:val="22"/>
        </w:rPr>
      </w:pPr>
      <w:bookmarkStart w:name="_bookmark73" w:id="74"/>
      <w:bookmarkEnd w:id="74"/>
      <w:r>
        <w:rPr/>
      </w:r>
      <w:r>
        <w:rPr>
          <w:b/>
          <w:color w:val="4F81BC"/>
          <w:sz w:val="22"/>
        </w:rPr>
        <w:t>Access to Source Data</w:t>
      </w:r>
    </w:p>
    <w:p>
      <w:pPr>
        <w:spacing w:line="276" w:lineRule="auto" w:before="39"/>
        <w:ind w:left="100" w:right="113" w:firstLine="0"/>
        <w:jc w:val="both"/>
        <w:rPr>
          <w:sz w:val="22"/>
        </w:rPr>
      </w:pPr>
      <w:r>
        <w:rPr>
          <w:sz w:val="22"/>
        </w:rPr>
        <w:t>The following is full disclosure regarding the source data. Every effort has been made to make the original documents easily accessible from the data set to allow the reader to see where the information came from. The data set contains links to the original materials cited in the data. The link locations are noted below.</w:t>
      </w:r>
    </w:p>
    <w:p>
      <w:pPr>
        <w:spacing w:before="201"/>
        <w:ind w:left="100" w:right="0" w:firstLine="0"/>
        <w:jc w:val="both"/>
        <w:rPr>
          <w:i/>
          <w:sz w:val="22"/>
        </w:rPr>
      </w:pPr>
      <w:r>
        <w:rPr>
          <w:i/>
          <w:color w:val="365F91"/>
          <w:sz w:val="22"/>
        </w:rPr>
        <w:t>IRS Form 990 for 2013 and 2014</w:t>
      </w:r>
    </w:p>
    <w:p>
      <w:pPr>
        <w:spacing w:line="271" w:lineRule="auto" w:before="34"/>
        <w:ind w:left="100" w:right="109" w:firstLine="0"/>
        <w:jc w:val="both"/>
        <w:rPr>
          <w:b/>
          <w:sz w:val="22"/>
        </w:rPr>
      </w:pPr>
      <w:r>
        <w:rPr>
          <w:sz w:val="22"/>
        </w:rPr>
        <w:t>For this study the author looked at ALL of the Form 990s for each non-profit school. The link to each</w:t>
      </w:r>
      <w:r>
        <w:rPr>
          <w:spacing w:val="-5"/>
          <w:sz w:val="22"/>
        </w:rPr>
        <w:t> </w:t>
      </w:r>
      <w:r>
        <w:rPr>
          <w:sz w:val="22"/>
        </w:rPr>
        <w:t>990</w:t>
      </w:r>
      <w:r>
        <w:rPr>
          <w:spacing w:val="-5"/>
          <w:sz w:val="22"/>
        </w:rPr>
        <w:t> </w:t>
      </w:r>
      <w:r>
        <w:rPr>
          <w:sz w:val="22"/>
        </w:rPr>
        <w:t>is</w:t>
      </w:r>
      <w:r>
        <w:rPr>
          <w:spacing w:val="-5"/>
          <w:sz w:val="22"/>
        </w:rPr>
        <w:t> </w:t>
      </w:r>
      <w:r>
        <w:rPr>
          <w:sz w:val="22"/>
        </w:rPr>
        <w:t>in</w:t>
      </w:r>
      <w:r>
        <w:rPr>
          <w:spacing w:val="-5"/>
          <w:sz w:val="22"/>
        </w:rPr>
        <w:t> </w:t>
      </w:r>
      <w:r>
        <w:rPr>
          <w:sz w:val="22"/>
        </w:rPr>
        <w:t>the</w:t>
      </w:r>
      <w:r>
        <w:rPr>
          <w:spacing w:val="-8"/>
          <w:sz w:val="22"/>
        </w:rPr>
        <w:t> </w:t>
      </w:r>
      <w:r>
        <w:rPr>
          <w:sz w:val="22"/>
        </w:rPr>
        <w:t>data</w:t>
      </w:r>
      <w:r>
        <w:rPr>
          <w:spacing w:val="-5"/>
          <w:sz w:val="22"/>
        </w:rPr>
        <w:t> </w:t>
      </w:r>
      <w:r>
        <w:rPr>
          <w:sz w:val="22"/>
        </w:rPr>
        <w:t>set.</w:t>
      </w:r>
      <w:r>
        <w:rPr>
          <w:spacing w:val="-3"/>
          <w:sz w:val="22"/>
        </w:rPr>
        <w:t> </w:t>
      </w:r>
      <w:r>
        <w:rPr>
          <w:sz w:val="22"/>
        </w:rPr>
        <w:t>Example:</w:t>
      </w:r>
      <w:r>
        <w:rPr>
          <w:spacing w:val="-3"/>
          <w:sz w:val="22"/>
        </w:rPr>
        <w:t> </w:t>
      </w:r>
      <w:hyperlink r:id="rId68">
        <w:r>
          <w:rPr>
            <w:b/>
            <w:color w:val="0462C1"/>
            <w:sz w:val="22"/>
            <w:u w:val="thick" w:color="0462C1"/>
          </w:rPr>
          <w:t>Legacy</w:t>
        </w:r>
        <w:r>
          <w:rPr>
            <w:b/>
            <w:color w:val="0462C1"/>
            <w:spacing w:val="-8"/>
            <w:sz w:val="22"/>
            <w:u w:val="thick" w:color="0462C1"/>
          </w:rPr>
          <w:t> </w:t>
        </w:r>
        <w:r>
          <w:rPr>
            <w:b/>
            <w:color w:val="0462C1"/>
            <w:sz w:val="22"/>
            <w:u w:val="thick" w:color="0462C1"/>
          </w:rPr>
          <w:t>Avondale</w:t>
        </w:r>
        <w:r>
          <w:rPr>
            <w:b/>
            <w:color w:val="0462C1"/>
            <w:spacing w:val="-5"/>
            <w:sz w:val="22"/>
            <w:u w:val="thick" w:color="0462C1"/>
          </w:rPr>
          <w:t> </w:t>
        </w:r>
        <w:r>
          <w:rPr>
            <w:b/>
            <w:color w:val="0462C1"/>
            <w:sz w:val="22"/>
            <w:u w:val="thick" w:color="0462C1"/>
          </w:rPr>
          <w:t>Form</w:t>
        </w:r>
        <w:r>
          <w:rPr>
            <w:b/>
            <w:color w:val="0462C1"/>
            <w:spacing w:val="-4"/>
            <w:sz w:val="22"/>
            <w:u w:val="thick" w:color="0462C1"/>
          </w:rPr>
          <w:t> </w:t>
        </w:r>
        <w:r>
          <w:rPr>
            <w:b/>
            <w:color w:val="0462C1"/>
            <w:sz w:val="22"/>
            <w:u w:val="thick" w:color="0462C1"/>
          </w:rPr>
          <w:t>990</w:t>
        </w:r>
        <w:r>
          <w:rPr>
            <w:b/>
            <w:color w:val="0462C1"/>
            <w:spacing w:val="-5"/>
            <w:sz w:val="22"/>
            <w:u w:val="thick" w:color="0462C1"/>
          </w:rPr>
          <w:t> </w:t>
        </w:r>
        <w:r>
          <w:rPr>
            <w:b/>
            <w:color w:val="0462C1"/>
            <w:sz w:val="22"/>
            <w:u w:val="thick" w:color="0462C1"/>
          </w:rPr>
          <w:t>FY</w:t>
        </w:r>
        <w:r>
          <w:rPr>
            <w:b/>
            <w:color w:val="0462C1"/>
            <w:spacing w:val="-6"/>
            <w:sz w:val="22"/>
            <w:u w:val="thick" w:color="0462C1"/>
          </w:rPr>
          <w:t> </w:t>
        </w:r>
        <w:r>
          <w:rPr>
            <w:b/>
            <w:color w:val="0462C1"/>
            <w:sz w:val="22"/>
            <w:u w:val="thick" w:color="0462C1"/>
          </w:rPr>
          <w:t>2013-1</w:t>
        </w:r>
      </w:hyperlink>
      <w:r>
        <w:rPr>
          <w:b/>
          <w:color w:val="0462C1"/>
          <w:sz w:val="22"/>
          <w:u w:val="thick" w:color="0462C1"/>
        </w:rPr>
        <w:t>4</w:t>
      </w:r>
      <w:r>
        <w:rPr>
          <w:b/>
          <w:color w:val="0462C1"/>
          <w:spacing w:val="-5"/>
          <w:sz w:val="22"/>
        </w:rPr>
        <w:t> </w:t>
      </w:r>
      <w:r>
        <w:rPr>
          <w:b/>
          <w:color w:val="0462C1"/>
          <w:sz w:val="18"/>
        </w:rPr>
        <w:t>.</w:t>
      </w:r>
      <w:r>
        <w:rPr>
          <w:b/>
          <w:color w:val="0462C1"/>
          <w:spacing w:val="-6"/>
          <w:sz w:val="18"/>
        </w:rPr>
        <w:t> </w:t>
      </w:r>
      <w:r>
        <w:rPr>
          <w:b/>
          <w:sz w:val="22"/>
        </w:rPr>
        <w:t>Special</w:t>
      </w:r>
      <w:r>
        <w:rPr>
          <w:b/>
          <w:spacing w:val="-6"/>
          <w:sz w:val="22"/>
        </w:rPr>
        <w:t> </w:t>
      </w:r>
      <w:r>
        <w:rPr>
          <w:b/>
          <w:sz w:val="22"/>
        </w:rPr>
        <w:t>thanks to GuideStar and Charity Finder for providing access to this</w:t>
      </w:r>
      <w:r>
        <w:rPr>
          <w:b/>
          <w:spacing w:val="-16"/>
          <w:sz w:val="22"/>
        </w:rPr>
        <w:t> </w:t>
      </w:r>
      <w:r>
        <w:rPr>
          <w:b/>
          <w:sz w:val="22"/>
        </w:rPr>
        <w:t>data.</w:t>
      </w:r>
    </w:p>
    <w:p>
      <w:pPr>
        <w:spacing w:line="276" w:lineRule="auto" w:before="211"/>
        <w:ind w:left="100" w:right="112" w:firstLine="0"/>
        <w:jc w:val="both"/>
        <w:rPr>
          <w:sz w:val="22"/>
        </w:rPr>
      </w:pPr>
      <w:r>
        <w:rPr>
          <w:sz w:val="22"/>
        </w:rPr>
        <w:t>Links to the data are in column BA of the data set. For-profits DO NOT file a Form 990 and nonprofits that are only registered as such in Arizona are exempt from the filing rules for federal nonprofits.</w:t>
      </w:r>
    </w:p>
    <w:p>
      <w:pPr>
        <w:spacing w:before="201"/>
        <w:ind w:left="100" w:right="0" w:firstLine="0"/>
        <w:jc w:val="both"/>
        <w:rPr>
          <w:i/>
          <w:sz w:val="22"/>
        </w:rPr>
      </w:pPr>
      <w:r>
        <w:rPr>
          <w:i/>
          <w:color w:val="365F91"/>
          <w:sz w:val="22"/>
        </w:rPr>
        <w:t>AZ Department of Education Annual Financial Reviews (AFRs)</w:t>
      </w:r>
    </w:p>
    <w:p>
      <w:pPr>
        <w:spacing w:line="276" w:lineRule="auto" w:before="29"/>
        <w:ind w:left="100" w:right="108" w:firstLine="0"/>
        <w:jc w:val="both"/>
        <w:rPr>
          <w:b/>
          <w:sz w:val="22"/>
        </w:rPr>
      </w:pPr>
      <w:hyperlink r:id="rId69">
        <w:r>
          <w:rPr>
            <w:sz w:val="22"/>
          </w:rPr>
          <w:t>AZ</w:t>
        </w:r>
        <w:r>
          <w:rPr>
            <w:spacing w:val="-3"/>
            <w:sz w:val="22"/>
          </w:rPr>
          <w:t> </w:t>
        </w:r>
        <w:r>
          <w:rPr>
            <w:sz w:val="22"/>
          </w:rPr>
          <w:t>School</w:t>
        </w:r>
        <w:r>
          <w:rPr>
            <w:spacing w:val="-4"/>
            <w:sz w:val="22"/>
          </w:rPr>
          <w:t> </w:t>
        </w:r>
        <w:r>
          <w:rPr>
            <w:sz w:val="22"/>
          </w:rPr>
          <w:t>Finance</w:t>
        </w:r>
        <w:r>
          <w:rPr>
            <w:spacing w:val="-3"/>
            <w:sz w:val="22"/>
          </w:rPr>
          <w:t> </w:t>
        </w:r>
        <w:r>
          <w:rPr>
            <w:sz w:val="22"/>
          </w:rPr>
          <w:t>Start</w:t>
        </w:r>
        <w:r>
          <w:rPr>
            <w:spacing w:val="-6"/>
            <w:sz w:val="22"/>
          </w:rPr>
          <w:t> </w:t>
        </w:r>
        <w:r>
          <w:rPr>
            <w:sz w:val="22"/>
          </w:rPr>
          <w:t>Page</w:t>
        </w:r>
        <w:r>
          <w:rPr>
            <w:spacing w:val="-5"/>
            <w:sz w:val="22"/>
          </w:rPr>
          <w:t> </w:t>
        </w:r>
      </w:hyperlink>
      <w:r>
        <w:rPr>
          <w:sz w:val="22"/>
        </w:rPr>
        <w:t>takes</w:t>
      </w:r>
      <w:r>
        <w:rPr>
          <w:spacing w:val="-5"/>
          <w:sz w:val="22"/>
        </w:rPr>
        <w:t> </w:t>
      </w:r>
      <w:r>
        <w:rPr>
          <w:sz w:val="22"/>
        </w:rPr>
        <w:t>the</w:t>
      </w:r>
      <w:r>
        <w:rPr>
          <w:spacing w:val="-6"/>
          <w:sz w:val="22"/>
        </w:rPr>
        <w:t> </w:t>
      </w:r>
      <w:r>
        <w:rPr>
          <w:sz w:val="22"/>
        </w:rPr>
        <w:t>user</w:t>
      </w:r>
      <w:r>
        <w:rPr>
          <w:spacing w:val="-4"/>
          <w:sz w:val="22"/>
        </w:rPr>
        <w:t> </w:t>
      </w:r>
      <w:r>
        <w:rPr>
          <w:sz w:val="22"/>
        </w:rPr>
        <w:t>to</w:t>
      </w:r>
      <w:r>
        <w:rPr>
          <w:spacing w:val="-5"/>
          <w:sz w:val="22"/>
        </w:rPr>
        <w:t> </w:t>
      </w:r>
      <w:r>
        <w:rPr>
          <w:sz w:val="22"/>
        </w:rPr>
        <w:t>the </w:t>
      </w:r>
      <w:hyperlink r:id="rId69">
        <w:r>
          <w:rPr>
            <w:b/>
            <w:color w:val="0462C1"/>
            <w:spacing w:val="-6"/>
            <w:sz w:val="22"/>
            <w:u w:val="thick" w:color="0462C1"/>
          </w:rPr>
          <w:t>AZ</w:t>
        </w:r>
        <w:r>
          <w:rPr>
            <w:b/>
            <w:color w:val="0462C1"/>
            <w:spacing w:val="-8"/>
            <w:sz w:val="22"/>
            <w:u w:val="thick" w:color="0462C1"/>
          </w:rPr>
          <w:t> </w:t>
        </w:r>
        <w:r>
          <w:rPr>
            <w:b/>
            <w:color w:val="0462C1"/>
            <w:sz w:val="22"/>
            <w:u w:val="thick" w:color="0462C1"/>
          </w:rPr>
          <w:t>School</w:t>
        </w:r>
        <w:r>
          <w:rPr>
            <w:b/>
            <w:color w:val="0462C1"/>
            <w:spacing w:val="-2"/>
            <w:sz w:val="22"/>
            <w:u w:val="thick" w:color="0462C1"/>
          </w:rPr>
          <w:t> </w:t>
        </w:r>
        <w:r>
          <w:rPr>
            <w:b/>
            <w:color w:val="0462C1"/>
            <w:sz w:val="22"/>
            <w:u w:val="thick" w:color="0462C1"/>
          </w:rPr>
          <w:t>Finance</w:t>
        </w:r>
        <w:r>
          <w:rPr>
            <w:b/>
            <w:color w:val="0462C1"/>
            <w:spacing w:val="-6"/>
            <w:sz w:val="22"/>
            <w:u w:val="thick" w:color="0462C1"/>
          </w:rPr>
          <w:t> </w:t>
        </w:r>
        <w:r>
          <w:rPr>
            <w:b/>
            <w:color w:val="0462C1"/>
            <w:sz w:val="22"/>
            <w:u w:val="thick" w:color="0462C1"/>
          </w:rPr>
          <w:t>Start</w:t>
        </w:r>
        <w:r>
          <w:rPr>
            <w:b/>
            <w:color w:val="0462C1"/>
            <w:spacing w:val="-2"/>
            <w:sz w:val="22"/>
            <w:u w:val="thick" w:color="0462C1"/>
          </w:rPr>
          <w:t> </w:t>
        </w:r>
        <w:r>
          <w:rPr>
            <w:b/>
            <w:color w:val="0462C1"/>
            <w:sz w:val="22"/>
            <w:u w:val="thick" w:color="0462C1"/>
          </w:rPr>
          <w:t>Page</w:t>
        </w:r>
      </w:hyperlink>
      <w:r>
        <w:rPr>
          <w:b/>
          <w:color w:val="0462C1"/>
          <w:sz w:val="22"/>
          <w:u w:val="thick" w:color="0462C1"/>
        </w:rPr>
        <w:t>.</w:t>
      </w:r>
      <w:r>
        <w:rPr>
          <w:b/>
          <w:color w:val="0462C1"/>
          <w:spacing w:val="-1"/>
          <w:sz w:val="22"/>
          <w:u w:val="thick" w:color="0462C1"/>
        </w:rPr>
        <w:t> </w:t>
      </w:r>
      <w:r>
        <w:rPr>
          <w:b/>
          <w:sz w:val="22"/>
        </w:rPr>
        <w:t>This</w:t>
      </w:r>
      <w:r>
        <w:rPr>
          <w:b/>
          <w:spacing w:val="-5"/>
          <w:sz w:val="22"/>
        </w:rPr>
        <w:t> </w:t>
      </w:r>
      <w:r>
        <w:rPr>
          <w:b/>
          <w:sz w:val="22"/>
        </w:rPr>
        <w:t>is</w:t>
      </w:r>
      <w:r>
        <w:rPr>
          <w:b/>
          <w:spacing w:val="-5"/>
          <w:sz w:val="22"/>
        </w:rPr>
        <w:t> </w:t>
      </w:r>
      <w:r>
        <w:rPr>
          <w:b/>
          <w:sz w:val="22"/>
        </w:rPr>
        <w:t>the jumping</w:t>
      </w:r>
      <w:r>
        <w:rPr>
          <w:b/>
          <w:spacing w:val="-14"/>
          <w:sz w:val="22"/>
        </w:rPr>
        <w:t> </w:t>
      </w:r>
      <w:r>
        <w:rPr>
          <w:b/>
          <w:sz w:val="22"/>
        </w:rPr>
        <w:t>off</w:t>
      </w:r>
      <w:r>
        <w:rPr>
          <w:b/>
          <w:spacing w:val="-15"/>
          <w:sz w:val="22"/>
        </w:rPr>
        <w:t> </w:t>
      </w:r>
      <w:r>
        <w:rPr>
          <w:b/>
          <w:sz w:val="22"/>
        </w:rPr>
        <w:t>point</w:t>
      </w:r>
      <w:r>
        <w:rPr>
          <w:b/>
          <w:spacing w:val="-18"/>
          <w:sz w:val="22"/>
        </w:rPr>
        <w:t> </w:t>
      </w:r>
      <w:r>
        <w:rPr>
          <w:b/>
          <w:sz w:val="22"/>
        </w:rPr>
        <w:t>in</w:t>
      </w:r>
      <w:r>
        <w:rPr>
          <w:b/>
          <w:spacing w:val="-17"/>
          <w:sz w:val="22"/>
        </w:rPr>
        <w:t> </w:t>
      </w:r>
      <w:r>
        <w:rPr>
          <w:b/>
          <w:sz w:val="22"/>
        </w:rPr>
        <w:t>the</w:t>
      </w:r>
      <w:r>
        <w:rPr>
          <w:b/>
          <w:spacing w:val="-19"/>
          <w:sz w:val="22"/>
        </w:rPr>
        <w:t> </w:t>
      </w:r>
      <w:r>
        <w:rPr>
          <w:b/>
          <w:spacing w:val="-5"/>
          <w:sz w:val="22"/>
        </w:rPr>
        <w:t>ADE</w:t>
      </w:r>
      <w:r>
        <w:rPr>
          <w:b/>
          <w:spacing w:val="-24"/>
          <w:sz w:val="22"/>
        </w:rPr>
        <w:t> </w:t>
      </w:r>
      <w:r>
        <w:rPr>
          <w:b/>
          <w:sz w:val="22"/>
        </w:rPr>
        <w:t>data</w:t>
      </w:r>
      <w:r>
        <w:rPr>
          <w:b/>
          <w:spacing w:val="-14"/>
          <w:sz w:val="22"/>
        </w:rPr>
        <w:t> </w:t>
      </w:r>
      <w:r>
        <w:rPr>
          <w:b/>
          <w:sz w:val="22"/>
        </w:rPr>
        <w:t>set.</w:t>
      </w:r>
      <w:r>
        <w:rPr>
          <w:b/>
          <w:spacing w:val="-12"/>
          <w:sz w:val="22"/>
        </w:rPr>
        <w:t> </w:t>
      </w:r>
      <w:r>
        <w:rPr>
          <w:b/>
          <w:spacing w:val="-7"/>
          <w:sz w:val="22"/>
        </w:rPr>
        <w:t>As</w:t>
      </w:r>
      <w:r>
        <w:rPr>
          <w:b/>
          <w:spacing w:val="-24"/>
          <w:sz w:val="22"/>
        </w:rPr>
        <w:t> </w:t>
      </w:r>
      <w:r>
        <w:rPr>
          <w:b/>
          <w:sz w:val="22"/>
        </w:rPr>
        <w:t>of</w:t>
      </w:r>
      <w:r>
        <w:rPr>
          <w:b/>
          <w:spacing w:val="-13"/>
          <w:sz w:val="22"/>
        </w:rPr>
        <w:t> </w:t>
      </w:r>
      <w:r>
        <w:rPr>
          <w:b/>
          <w:sz w:val="22"/>
        </w:rPr>
        <w:t>this</w:t>
      </w:r>
      <w:r>
        <w:rPr>
          <w:b/>
          <w:spacing w:val="-18"/>
          <w:sz w:val="22"/>
        </w:rPr>
        <w:t> </w:t>
      </w:r>
      <w:r>
        <w:rPr>
          <w:b/>
          <w:sz w:val="22"/>
        </w:rPr>
        <w:t>writing</w:t>
      </w:r>
      <w:r>
        <w:rPr>
          <w:b/>
          <w:spacing w:val="-17"/>
          <w:sz w:val="22"/>
        </w:rPr>
        <w:t> </w:t>
      </w:r>
      <w:r>
        <w:rPr>
          <w:b/>
          <w:sz w:val="22"/>
        </w:rPr>
        <w:t>this</w:t>
      </w:r>
      <w:r>
        <w:rPr>
          <w:b/>
          <w:spacing w:val="-16"/>
          <w:sz w:val="22"/>
        </w:rPr>
        <w:t> </w:t>
      </w:r>
      <w:r>
        <w:rPr>
          <w:b/>
          <w:sz w:val="22"/>
        </w:rPr>
        <w:t>page</w:t>
      </w:r>
      <w:r>
        <w:rPr>
          <w:b/>
          <w:spacing w:val="-22"/>
          <w:sz w:val="22"/>
        </w:rPr>
        <w:t> </w:t>
      </w:r>
      <w:r>
        <w:rPr>
          <w:b/>
          <w:sz w:val="22"/>
        </w:rPr>
        <w:t>will</w:t>
      </w:r>
      <w:r>
        <w:rPr>
          <w:b/>
          <w:spacing w:val="-17"/>
          <w:sz w:val="22"/>
        </w:rPr>
        <w:t> </w:t>
      </w:r>
      <w:r>
        <w:rPr>
          <w:b/>
          <w:sz w:val="22"/>
        </w:rPr>
        <w:t>take</w:t>
      </w:r>
      <w:r>
        <w:rPr>
          <w:b/>
          <w:spacing w:val="-13"/>
          <w:sz w:val="22"/>
        </w:rPr>
        <w:t> </w:t>
      </w:r>
      <w:r>
        <w:rPr>
          <w:b/>
          <w:spacing w:val="-4"/>
          <w:sz w:val="22"/>
        </w:rPr>
        <w:t>you</w:t>
      </w:r>
      <w:r>
        <w:rPr>
          <w:b/>
          <w:spacing w:val="-19"/>
          <w:sz w:val="22"/>
        </w:rPr>
        <w:t> </w:t>
      </w:r>
      <w:r>
        <w:rPr>
          <w:b/>
          <w:sz w:val="22"/>
        </w:rPr>
        <w:t>to</w:t>
      </w:r>
      <w:r>
        <w:rPr>
          <w:b/>
          <w:spacing w:val="-17"/>
          <w:sz w:val="22"/>
        </w:rPr>
        <w:t> </w:t>
      </w:r>
      <w:r>
        <w:rPr>
          <w:b/>
          <w:sz w:val="22"/>
        </w:rPr>
        <w:t>the</w:t>
      </w:r>
      <w:r>
        <w:rPr>
          <w:b/>
          <w:spacing w:val="-17"/>
          <w:sz w:val="22"/>
        </w:rPr>
        <w:t> </w:t>
      </w:r>
      <w:r>
        <w:rPr>
          <w:b/>
          <w:sz w:val="22"/>
        </w:rPr>
        <w:t>starting point for 2015-2016 Annual Financial Reviews. Moving through the dataset at </w:t>
      </w:r>
      <w:r>
        <w:rPr>
          <w:b/>
          <w:spacing w:val="-4"/>
          <w:sz w:val="22"/>
        </w:rPr>
        <w:t>ADE </w:t>
      </w:r>
      <w:r>
        <w:rPr>
          <w:b/>
          <w:sz w:val="22"/>
        </w:rPr>
        <w:t>will allow the user to locate the </w:t>
      </w:r>
      <w:r>
        <w:rPr>
          <w:b/>
          <w:spacing w:val="-5"/>
          <w:sz w:val="22"/>
        </w:rPr>
        <w:t>AFRs </w:t>
      </w:r>
      <w:r>
        <w:rPr>
          <w:b/>
          <w:sz w:val="22"/>
        </w:rPr>
        <w:t>used in this report. Over 1800 </w:t>
      </w:r>
      <w:r>
        <w:rPr>
          <w:b/>
          <w:spacing w:val="-4"/>
          <w:sz w:val="22"/>
        </w:rPr>
        <w:t>AFRs </w:t>
      </w:r>
      <w:r>
        <w:rPr>
          <w:b/>
          <w:sz w:val="22"/>
        </w:rPr>
        <w:t>from three fiscal years were used in the creation of this data set. In particular fiscal year 2014-2015 is detailed in the data and reported on in this</w:t>
      </w:r>
      <w:r>
        <w:rPr>
          <w:b/>
          <w:spacing w:val="-32"/>
          <w:sz w:val="22"/>
        </w:rPr>
        <w:t> </w:t>
      </w:r>
      <w:r>
        <w:rPr>
          <w:b/>
          <w:sz w:val="22"/>
        </w:rPr>
        <w:t>document.</w:t>
      </w:r>
    </w:p>
    <w:p>
      <w:pPr>
        <w:spacing w:line="276" w:lineRule="auto" w:before="201"/>
        <w:ind w:left="100" w:right="111" w:firstLine="0"/>
        <w:jc w:val="both"/>
        <w:rPr>
          <w:b/>
          <w:sz w:val="22"/>
        </w:rPr>
      </w:pPr>
      <w:r>
        <w:rPr>
          <w:b/>
          <w:sz w:val="22"/>
        </w:rPr>
        <w:t>Thanks</w:t>
      </w:r>
      <w:r>
        <w:rPr>
          <w:b/>
          <w:spacing w:val="-4"/>
          <w:sz w:val="22"/>
        </w:rPr>
        <w:t> </w:t>
      </w:r>
      <w:r>
        <w:rPr>
          <w:b/>
          <w:sz w:val="22"/>
        </w:rPr>
        <w:t>to</w:t>
      </w:r>
      <w:r>
        <w:rPr>
          <w:b/>
          <w:spacing w:val="-6"/>
          <w:sz w:val="22"/>
        </w:rPr>
        <w:t> </w:t>
      </w:r>
      <w:r>
        <w:rPr>
          <w:b/>
          <w:sz w:val="22"/>
        </w:rPr>
        <w:t>the</w:t>
      </w:r>
      <w:r>
        <w:rPr>
          <w:b/>
          <w:spacing w:val="-7"/>
          <w:sz w:val="22"/>
        </w:rPr>
        <w:t> </w:t>
      </w:r>
      <w:r>
        <w:rPr>
          <w:b/>
          <w:sz w:val="22"/>
        </w:rPr>
        <w:t>staff</w:t>
      </w:r>
      <w:r>
        <w:rPr>
          <w:b/>
          <w:spacing w:val="-5"/>
          <w:sz w:val="22"/>
        </w:rPr>
        <w:t> </w:t>
      </w:r>
      <w:r>
        <w:rPr>
          <w:b/>
          <w:sz w:val="22"/>
        </w:rPr>
        <w:t>at</w:t>
      </w:r>
      <w:r>
        <w:rPr>
          <w:b/>
          <w:spacing w:val="-5"/>
          <w:sz w:val="22"/>
        </w:rPr>
        <w:t> </w:t>
      </w:r>
      <w:r>
        <w:rPr>
          <w:b/>
          <w:sz w:val="22"/>
        </w:rPr>
        <w:t>the</w:t>
      </w:r>
      <w:r>
        <w:rPr>
          <w:b/>
          <w:spacing w:val="-4"/>
          <w:sz w:val="22"/>
        </w:rPr>
        <w:t> </w:t>
      </w:r>
      <w:r>
        <w:rPr>
          <w:b/>
          <w:sz w:val="22"/>
        </w:rPr>
        <w:t>Department</w:t>
      </w:r>
      <w:r>
        <w:rPr>
          <w:b/>
          <w:spacing w:val="-3"/>
          <w:sz w:val="22"/>
        </w:rPr>
        <w:t> </w:t>
      </w:r>
      <w:r>
        <w:rPr>
          <w:b/>
          <w:sz w:val="22"/>
        </w:rPr>
        <w:t>of</w:t>
      </w:r>
      <w:r>
        <w:rPr>
          <w:b/>
          <w:spacing w:val="-5"/>
          <w:sz w:val="22"/>
        </w:rPr>
        <w:t> </w:t>
      </w:r>
      <w:r>
        <w:rPr>
          <w:b/>
          <w:sz w:val="22"/>
        </w:rPr>
        <w:t>Education</w:t>
      </w:r>
      <w:r>
        <w:rPr>
          <w:b/>
          <w:spacing w:val="-7"/>
          <w:sz w:val="22"/>
        </w:rPr>
        <w:t> </w:t>
      </w:r>
      <w:r>
        <w:rPr>
          <w:b/>
          <w:sz w:val="22"/>
        </w:rPr>
        <w:t>for</w:t>
      </w:r>
      <w:r>
        <w:rPr>
          <w:b/>
          <w:spacing w:val="-6"/>
          <w:sz w:val="22"/>
        </w:rPr>
        <w:t> </w:t>
      </w:r>
      <w:r>
        <w:rPr>
          <w:b/>
          <w:sz w:val="22"/>
        </w:rPr>
        <w:t>their</w:t>
      </w:r>
      <w:r>
        <w:rPr>
          <w:b/>
          <w:spacing w:val="-6"/>
          <w:sz w:val="22"/>
        </w:rPr>
        <w:t> </w:t>
      </w:r>
      <w:r>
        <w:rPr>
          <w:b/>
          <w:sz w:val="22"/>
        </w:rPr>
        <w:t>patient</w:t>
      </w:r>
      <w:r>
        <w:rPr>
          <w:b/>
          <w:spacing w:val="-5"/>
          <w:sz w:val="22"/>
        </w:rPr>
        <w:t> </w:t>
      </w:r>
      <w:r>
        <w:rPr>
          <w:b/>
          <w:sz w:val="22"/>
        </w:rPr>
        <w:t>assistance</w:t>
      </w:r>
      <w:r>
        <w:rPr>
          <w:b/>
          <w:spacing w:val="-6"/>
          <w:sz w:val="22"/>
        </w:rPr>
        <w:t> </w:t>
      </w:r>
      <w:r>
        <w:rPr>
          <w:b/>
          <w:sz w:val="22"/>
        </w:rPr>
        <w:t>as</w:t>
      </w:r>
      <w:r>
        <w:rPr>
          <w:b/>
          <w:spacing w:val="-7"/>
          <w:sz w:val="22"/>
        </w:rPr>
        <w:t> </w:t>
      </w:r>
      <w:r>
        <w:rPr>
          <w:b/>
          <w:sz w:val="22"/>
        </w:rPr>
        <w:t>I</w:t>
      </w:r>
      <w:r>
        <w:rPr>
          <w:b/>
          <w:spacing w:val="-7"/>
          <w:sz w:val="22"/>
        </w:rPr>
        <w:t> </w:t>
      </w:r>
      <w:r>
        <w:rPr>
          <w:b/>
          <w:sz w:val="22"/>
        </w:rPr>
        <w:t>learned to navigate this</w:t>
      </w:r>
      <w:r>
        <w:rPr>
          <w:b/>
          <w:spacing w:val="-22"/>
          <w:sz w:val="22"/>
        </w:rPr>
        <w:t> </w:t>
      </w:r>
      <w:r>
        <w:rPr>
          <w:b/>
          <w:sz w:val="22"/>
        </w:rPr>
        <w:t>information.</w:t>
      </w:r>
    </w:p>
    <w:p>
      <w:pPr>
        <w:spacing w:line="276" w:lineRule="auto" w:before="201"/>
        <w:ind w:left="100" w:right="114" w:firstLine="0"/>
        <w:jc w:val="both"/>
        <w:rPr>
          <w:b/>
          <w:sz w:val="22"/>
        </w:rPr>
      </w:pPr>
      <w:r>
        <w:rPr>
          <w:b/>
          <w:sz w:val="22"/>
        </w:rPr>
        <w:t>AZ Superintendent of Public Instruction Reports are easily located at the AZ Department of Education website. The information in this data set was gleaned from Volume One of the Annual Superintendent’s Reports. The link is provided here.</w:t>
      </w:r>
    </w:p>
    <w:p>
      <w:pPr>
        <w:spacing w:before="202"/>
        <w:ind w:left="100" w:right="0" w:firstLine="0"/>
        <w:jc w:val="both"/>
        <w:rPr>
          <w:b/>
          <w:sz w:val="22"/>
        </w:rPr>
      </w:pPr>
      <w:hyperlink r:id="rId70">
        <w:r>
          <w:rPr>
            <w:b/>
            <w:sz w:val="22"/>
          </w:rPr>
          <w:t>http://www.azed.gov/superintendent/superintendents-annual-report/</w:t>
        </w:r>
      </w:hyperlink>
    </w:p>
    <w:p>
      <w:pPr>
        <w:pStyle w:val="BodyText"/>
        <w:spacing w:before="6"/>
        <w:rPr>
          <w:b/>
          <w:sz w:val="20"/>
        </w:rPr>
      </w:pPr>
    </w:p>
    <w:p>
      <w:pPr>
        <w:spacing w:before="1"/>
        <w:ind w:left="100" w:right="0" w:firstLine="0"/>
        <w:jc w:val="both"/>
        <w:rPr>
          <w:i/>
          <w:sz w:val="22"/>
        </w:rPr>
      </w:pPr>
      <w:r>
        <w:rPr>
          <w:i/>
          <w:color w:val="365F91"/>
          <w:sz w:val="24"/>
        </w:rPr>
        <w:t>ASBCS </w:t>
      </w:r>
      <w:r>
        <w:rPr>
          <w:i/>
          <w:color w:val="365F91"/>
          <w:sz w:val="22"/>
        </w:rPr>
        <w:t>Audits</w:t>
      </w:r>
    </w:p>
    <w:p>
      <w:pPr>
        <w:spacing w:line="276" w:lineRule="auto" w:before="45"/>
        <w:ind w:left="100" w:right="110" w:firstLine="0"/>
        <w:jc w:val="both"/>
        <w:rPr>
          <w:b/>
          <w:sz w:val="22"/>
        </w:rPr>
      </w:pPr>
      <w:r>
        <w:rPr>
          <w:b/>
          <w:sz w:val="24"/>
        </w:rPr>
        <w:t>ASBCS </w:t>
      </w:r>
      <w:r>
        <w:rPr>
          <w:b/>
          <w:sz w:val="22"/>
        </w:rPr>
        <w:t>audits: Each charter has the following link in column BK in the data set. Audits for all of the charters were researched with the 2013-2014 audit used in an analysis of all audit reporting done in that particular year. The years 2014-2015 data (an audit analysis) was performed on ALL of the charter audits for that year. In all approximately 1100 audits were studied for the information in this audit.</w:t>
      </w:r>
    </w:p>
    <w:p>
      <w:pPr>
        <w:spacing w:line="278" w:lineRule="auto" w:before="199"/>
        <w:ind w:left="100" w:right="117" w:firstLine="0"/>
        <w:jc w:val="both"/>
        <w:rPr>
          <w:b/>
          <w:sz w:val="22"/>
        </w:rPr>
      </w:pPr>
      <w:r>
        <w:rPr>
          <w:b/>
          <w:sz w:val="22"/>
        </w:rPr>
        <w:t>A</w:t>
      </w:r>
      <w:r>
        <w:rPr>
          <w:b/>
          <w:spacing w:val="-17"/>
          <w:sz w:val="22"/>
        </w:rPr>
        <w:t> </w:t>
      </w:r>
      <w:r>
        <w:rPr>
          <w:b/>
          <w:sz w:val="22"/>
        </w:rPr>
        <w:t>complete</w:t>
      </w:r>
      <w:r>
        <w:rPr>
          <w:b/>
          <w:spacing w:val="-13"/>
          <w:sz w:val="22"/>
        </w:rPr>
        <w:t> </w:t>
      </w:r>
      <w:r>
        <w:rPr>
          <w:b/>
          <w:sz w:val="22"/>
        </w:rPr>
        <w:t>listing</w:t>
      </w:r>
      <w:r>
        <w:rPr>
          <w:b/>
          <w:spacing w:val="-15"/>
          <w:sz w:val="22"/>
        </w:rPr>
        <w:t> </w:t>
      </w:r>
      <w:r>
        <w:rPr>
          <w:b/>
          <w:sz w:val="22"/>
        </w:rPr>
        <w:t>of</w:t>
      </w:r>
      <w:r>
        <w:rPr>
          <w:b/>
          <w:spacing w:val="-16"/>
          <w:sz w:val="22"/>
        </w:rPr>
        <w:t> </w:t>
      </w:r>
      <w:r>
        <w:rPr>
          <w:b/>
          <w:sz w:val="22"/>
        </w:rPr>
        <w:t>the</w:t>
      </w:r>
      <w:r>
        <w:rPr>
          <w:b/>
          <w:spacing w:val="-14"/>
          <w:sz w:val="22"/>
        </w:rPr>
        <w:t> </w:t>
      </w:r>
      <w:r>
        <w:rPr>
          <w:b/>
          <w:sz w:val="22"/>
        </w:rPr>
        <w:t>Charter</w:t>
      </w:r>
      <w:r>
        <w:rPr>
          <w:b/>
          <w:spacing w:val="-13"/>
          <w:sz w:val="22"/>
        </w:rPr>
        <w:t> </w:t>
      </w:r>
      <w:r>
        <w:rPr>
          <w:b/>
          <w:sz w:val="22"/>
        </w:rPr>
        <w:t>School</w:t>
      </w:r>
      <w:r>
        <w:rPr>
          <w:b/>
          <w:spacing w:val="-13"/>
          <w:sz w:val="22"/>
        </w:rPr>
        <w:t> </w:t>
      </w:r>
      <w:r>
        <w:rPr>
          <w:b/>
          <w:sz w:val="22"/>
        </w:rPr>
        <w:t>Laws</w:t>
      </w:r>
      <w:r>
        <w:rPr>
          <w:b/>
          <w:spacing w:val="-17"/>
          <w:sz w:val="22"/>
        </w:rPr>
        <w:t> </w:t>
      </w:r>
      <w:r>
        <w:rPr>
          <w:b/>
          <w:sz w:val="22"/>
        </w:rPr>
        <w:t>in</w:t>
      </w:r>
      <w:r>
        <w:rPr>
          <w:b/>
          <w:spacing w:val="-12"/>
          <w:sz w:val="22"/>
        </w:rPr>
        <w:t> </w:t>
      </w:r>
      <w:r>
        <w:rPr>
          <w:b/>
          <w:sz w:val="22"/>
        </w:rPr>
        <w:t>Arizona</w:t>
      </w:r>
      <w:r>
        <w:rPr>
          <w:b/>
          <w:spacing w:val="-14"/>
          <w:sz w:val="22"/>
        </w:rPr>
        <w:t> </w:t>
      </w:r>
      <w:r>
        <w:rPr>
          <w:b/>
          <w:sz w:val="22"/>
        </w:rPr>
        <w:t>is</w:t>
      </w:r>
      <w:r>
        <w:rPr>
          <w:b/>
          <w:spacing w:val="-14"/>
          <w:sz w:val="22"/>
        </w:rPr>
        <w:t> </w:t>
      </w:r>
      <w:r>
        <w:rPr>
          <w:b/>
          <w:sz w:val="22"/>
        </w:rPr>
        <w:t>provided</w:t>
      </w:r>
      <w:r>
        <w:rPr>
          <w:b/>
          <w:spacing w:val="-14"/>
          <w:sz w:val="22"/>
        </w:rPr>
        <w:t> </w:t>
      </w:r>
      <w:r>
        <w:rPr>
          <w:b/>
          <w:sz w:val="22"/>
        </w:rPr>
        <w:t>at</w:t>
      </w:r>
      <w:r>
        <w:rPr>
          <w:b/>
          <w:spacing w:val="-16"/>
          <w:sz w:val="22"/>
        </w:rPr>
        <w:t> </w:t>
      </w:r>
      <w:r>
        <w:rPr>
          <w:b/>
          <w:sz w:val="22"/>
        </w:rPr>
        <w:t>the</w:t>
      </w:r>
      <w:r>
        <w:rPr>
          <w:b/>
          <w:spacing w:val="-12"/>
          <w:sz w:val="22"/>
        </w:rPr>
        <w:t> </w:t>
      </w:r>
      <w:r>
        <w:rPr>
          <w:b/>
          <w:spacing w:val="-2"/>
          <w:sz w:val="22"/>
        </w:rPr>
        <w:t>ASBCS'</w:t>
      </w:r>
      <w:r>
        <w:rPr>
          <w:b/>
          <w:spacing w:val="-16"/>
          <w:sz w:val="22"/>
        </w:rPr>
        <w:t> </w:t>
      </w:r>
      <w:r>
        <w:rPr>
          <w:b/>
          <w:sz w:val="22"/>
        </w:rPr>
        <w:t>website </w:t>
      </w:r>
      <w:r>
        <w:rPr>
          <w:b/>
          <w:spacing w:val="-1"/>
          <w:sz w:val="22"/>
        </w:rPr>
        <w:t>here:</w:t>
      </w:r>
      <w:r>
        <w:rPr>
          <w:b/>
          <w:spacing w:val="48"/>
          <w:sz w:val="22"/>
        </w:rPr>
        <w:t> </w:t>
      </w:r>
      <w:hyperlink r:id="rId71">
        <w:r>
          <w:rPr>
            <w:b/>
            <w:spacing w:val="-1"/>
            <w:sz w:val="22"/>
          </w:rPr>
          <w:t>https://asbcs.az.gov/board-staff-information/statutes-rules-policies</w:t>
        </w:r>
      </w:hyperlink>
      <w:r>
        <w:rPr>
          <w:b/>
          <w:spacing w:val="-1"/>
          <w:sz w:val="22"/>
        </w:rPr>
        <w:t>.</w:t>
      </w:r>
    </w:p>
    <w:p>
      <w:pPr>
        <w:spacing w:after="0" w:line="278" w:lineRule="auto"/>
        <w:jc w:val="both"/>
        <w:rPr>
          <w:sz w:val="22"/>
        </w:rPr>
        <w:sectPr>
          <w:pgSz w:w="12240" w:h="15840"/>
          <w:pgMar w:header="740" w:footer="978" w:top="940" w:bottom="1200" w:left="1340" w:right="1320"/>
        </w:sectPr>
      </w:pPr>
    </w:p>
    <w:p>
      <w:pPr>
        <w:pStyle w:val="BodyText"/>
        <w:rPr>
          <w:b/>
          <w:sz w:val="20"/>
        </w:rPr>
      </w:pPr>
    </w:p>
    <w:p>
      <w:pPr>
        <w:pStyle w:val="BodyText"/>
        <w:spacing w:before="2"/>
        <w:rPr>
          <w:b/>
          <w:sz w:val="22"/>
        </w:rPr>
      </w:pPr>
    </w:p>
    <w:tbl>
      <w:tblPr>
        <w:tblW w:w="0" w:type="auto"/>
        <w:jc w:val="left"/>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321"/>
      </w:tblGrid>
      <w:tr>
        <w:trPr>
          <w:trHeight w:val="320" w:hRule="atLeast"/>
        </w:trPr>
        <w:tc>
          <w:tcPr>
            <w:tcW w:w="8321" w:type="dxa"/>
            <w:tcBorders>
              <w:bottom w:val="nil"/>
            </w:tcBorders>
            <w:shd w:val="clear" w:color="auto" w:fill="FFFFCC"/>
          </w:tcPr>
          <w:p>
            <w:pPr>
              <w:pStyle w:val="TableParagraph"/>
              <w:spacing w:line="222" w:lineRule="exact"/>
              <w:ind w:left="873" w:right="874"/>
              <w:rPr>
                <w:b/>
                <w:sz w:val="20"/>
              </w:rPr>
            </w:pPr>
            <w:r>
              <w:rPr>
                <w:b/>
                <w:sz w:val="20"/>
              </w:rPr>
              <w:t>Access Link for Audits Once there:</w:t>
            </w:r>
          </w:p>
        </w:tc>
      </w:tr>
      <w:tr>
        <w:trPr>
          <w:trHeight w:val="440" w:hRule="atLeast"/>
        </w:trPr>
        <w:tc>
          <w:tcPr>
            <w:tcW w:w="8321" w:type="dxa"/>
            <w:tcBorders>
              <w:top w:val="nil"/>
              <w:bottom w:val="nil"/>
            </w:tcBorders>
            <w:shd w:val="clear" w:color="auto" w:fill="FFFFCC"/>
          </w:tcPr>
          <w:p>
            <w:pPr>
              <w:pStyle w:val="TableParagraph"/>
              <w:spacing w:before="110"/>
              <w:ind w:left="874" w:right="874"/>
              <w:rPr>
                <w:b/>
                <w:sz w:val="20"/>
              </w:rPr>
            </w:pPr>
            <w:r>
              <w:rPr>
                <w:b/>
                <w:sz w:val="20"/>
              </w:rPr>
              <w:t>Pick Documentation</w:t>
            </w:r>
          </w:p>
        </w:tc>
      </w:tr>
      <w:tr>
        <w:trPr>
          <w:trHeight w:val="440" w:hRule="atLeast"/>
        </w:trPr>
        <w:tc>
          <w:tcPr>
            <w:tcW w:w="8321" w:type="dxa"/>
            <w:tcBorders>
              <w:top w:val="nil"/>
              <w:bottom w:val="nil"/>
            </w:tcBorders>
            <w:shd w:val="clear" w:color="auto" w:fill="FFFFCC"/>
          </w:tcPr>
          <w:p>
            <w:pPr>
              <w:pStyle w:val="TableParagraph"/>
              <w:spacing w:before="109"/>
              <w:ind w:left="866" w:right="874"/>
              <w:rPr>
                <w:b/>
                <w:sz w:val="20"/>
              </w:rPr>
            </w:pPr>
            <w:r>
              <w:rPr>
                <w:b/>
                <w:sz w:val="20"/>
              </w:rPr>
              <w:t>Go to Document Management then Click Charter Holder</w:t>
            </w:r>
          </w:p>
        </w:tc>
      </w:tr>
      <w:tr>
        <w:trPr>
          <w:trHeight w:val="560" w:hRule="atLeast"/>
        </w:trPr>
        <w:tc>
          <w:tcPr>
            <w:tcW w:w="8321" w:type="dxa"/>
            <w:tcBorders>
              <w:top w:val="nil"/>
            </w:tcBorders>
            <w:shd w:val="clear" w:color="auto" w:fill="FFFFCC"/>
          </w:tcPr>
          <w:p>
            <w:pPr>
              <w:pStyle w:val="TableParagraph"/>
              <w:spacing w:before="113"/>
              <w:ind w:left="870" w:right="874"/>
              <w:rPr>
                <w:b/>
                <w:sz w:val="20"/>
              </w:rPr>
            </w:pPr>
            <w:r>
              <w:rPr>
                <w:b/>
                <w:sz w:val="20"/>
              </w:rPr>
              <w:t>Select Audit Documents and Pick Year then Download the FILE</w:t>
            </w:r>
          </w:p>
        </w:tc>
      </w:tr>
      <w:tr>
        <w:trPr>
          <w:trHeight w:val="400" w:hRule="atLeast"/>
        </w:trPr>
        <w:tc>
          <w:tcPr>
            <w:tcW w:w="8321" w:type="dxa"/>
            <w:shd w:val="clear" w:color="auto" w:fill="FFFFCC"/>
          </w:tcPr>
          <w:p>
            <w:pPr>
              <w:pStyle w:val="TableParagraph"/>
              <w:spacing w:line="180" w:lineRule="exact"/>
              <w:ind w:left="878" w:right="874"/>
              <w:rPr>
                <w:b/>
                <w:sz w:val="16"/>
              </w:rPr>
            </w:pPr>
            <w:hyperlink r:id="rId73">
              <w:r>
                <w:rPr>
                  <w:b/>
                  <w:color w:val="0462C1"/>
                  <w:sz w:val="16"/>
                  <w:u w:val="single" w:color="0462C1"/>
                </w:rPr>
                <w:t>http://online.asbcs.az.gov/charterholders/view/592/legacy-traditional-school-avondale</w:t>
              </w:r>
            </w:hyperlink>
          </w:p>
        </w:tc>
      </w:tr>
    </w:tbl>
    <w:p>
      <w:pPr>
        <w:pStyle w:val="BodyText"/>
        <w:spacing w:before="10"/>
        <w:rPr>
          <w:b/>
          <w:sz w:val="29"/>
        </w:rPr>
      </w:pPr>
    </w:p>
    <w:p>
      <w:pPr>
        <w:pStyle w:val="Heading1"/>
        <w:spacing w:before="91"/>
        <w:ind w:left="240"/>
      </w:pPr>
      <w:bookmarkStart w:name="_bookmark74" w:id="75"/>
      <w:bookmarkEnd w:id="75"/>
      <w:r>
        <w:rPr/>
      </w:r>
      <w:r>
        <w:rPr>
          <w:color w:val="365F91"/>
        </w:rPr>
        <w:t>References Cited</w:t>
      </w:r>
    </w:p>
    <w:p>
      <w:pPr>
        <w:pStyle w:val="BodyText"/>
        <w:spacing w:line="244" w:lineRule="auto" w:before="34"/>
        <w:ind w:left="960" w:right="596" w:hanging="720"/>
      </w:pPr>
      <w:r>
        <w:rPr/>
        <w:t>2017. Ted Simmons Interview with Arizona Governor Doug Ducey. In </w:t>
      </w:r>
      <w:r>
        <w:rPr>
          <w:i/>
        </w:rPr>
        <w:t>Horion</w:t>
      </w:r>
      <w:r>
        <w:rPr/>
        <w:t>. USA: KAET.</w:t>
      </w:r>
    </w:p>
    <w:p>
      <w:pPr>
        <w:pStyle w:val="BodyText"/>
        <w:ind w:left="960" w:right="269" w:hanging="720"/>
      </w:pPr>
      <w:r>
        <w:rPr/>
        <w:t>Arizona Department of Education. 2016. Annual Report of the Arizona Superintendent of Public Instruction 2014-2015.Volume 1. January. </w:t>
      </w:r>
      <w:hyperlink r:id="rId74">
        <w:r>
          <w:rPr/>
          <w:t>http://www.azed.gov/superintendent/files/2016/01/safr-2015-volume-i.pdf.</w:t>
        </w:r>
      </w:hyperlink>
    </w:p>
    <w:p>
      <w:pPr>
        <w:spacing w:line="240" w:lineRule="auto" w:before="3"/>
        <w:ind w:left="960" w:right="131" w:hanging="720"/>
        <w:jc w:val="left"/>
        <w:rPr>
          <w:sz w:val="24"/>
        </w:rPr>
      </w:pPr>
      <w:r>
        <w:rPr>
          <w:sz w:val="24"/>
        </w:rPr>
        <w:t>Baker, Bruce D., Miron, Gary. 2015. </w:t>
      </w:r>
      <w:r>
        <w:rPr>
          <w:i/>
          <w:sz w:val="24"/>
        </w:rPr>
        <w:t>The Business of Charter Schooling: Understanding </w:t>
      </w:r>
      <w:r>
        <w:rPr>
          <w:i/>
          <w:sz w:val="24"/>
        </w:rPr>
        <w:t>the Policies that Charter Operators Use for Financial Benefit. </w:t>
      </w:r>
      <w:r>
        <w:rPr>
          <w:sz w:val="24"/>
        </w:rPr>
        <w:t>National Education Policy Center Report. Boulder, CO: NEPC. </w:t>
      </w:r>
      <w:hyperlink r:id="rId75">
        <w:r>
          <w:rPr>
            <w:sz w:val="24"/>
          </w:rPr>
          <w:t>http://nepc.colorado.edu/publication/charter-revenue</w:t>
        </w:r>
      </w:hyperlink>
    </w:p>
    <w:p>
      <w:pPr>
        <w:pStyle w:val="BodyText"/>
        <w:ind w:left="960" w:right="99" w:hanging="720"/>
      </w:pPr>
      <w:r>
        <w:rPr/>
        <w:t>Balas, Katrease, Gray, Kathleen and Zanieski, Anne. 2016. "Feds: 12 Detroit Principals Stole $1 M in Kickbacks." </w:t>
      </w:r>
      <w:r>
        <w:rPr>
          <w:i/>
        </w:rPr>
        <w:t>Detroit Free Press</w:t>
      </w:r>
      <w:r>
        <w:rPr/>
        <w:t>, March 31, 2016, 1, News. </w:t>
      </w:r>
      <w:hyperlink r:id="rId76">
        <w:r>
          <w:rPr/>
          <w:t>http://www.freep.com/story/news/local/michigan/detroit/2016/03/29/feds-charge-</w:t>
        </w:r>
      </w:hyperlink>
      <w:r>
        <w:rPr/>
        <w:t> </w:t>
      </w:r>
      <w:hyperlink r:id="rId76">
        <w:r>
          <w:rPr/>
          <w:t>9-current-and-former-detroit-school-principals/82375712/</w:t>
        </w:r>
      </w:hyperlink>
      <w:r>
        <w:rPr/>
        <w:t>.</w:t>
      </w:r>
    </w:p>
    <w:p>
      <w:pPr>
        <w:spacing w:line="240" w:lineRule="auto" w:before="0"/>
        <w:ind w:left="960" w:right="595" w:hanging="720"/>
        <w:jc w:val="left"/>
        <w:rPr>
          <w:i/>
          <w:sz w:val="24"/>
        </w:rPr>
      </w:pPr>
      <w:r>
        <w:rPr>
          <w:sz w:val="24"/>
        </w:rPr>
        <w:t>Bennis, Warren G., Jagdish Parikh, and Ronnie Lessem. 1994. </w:t>
      </w:r>
      <w:r>
        <w:rPr>
          <w:i/>
          <w:sz w:val="24"/>
        </w:rPr>
        <w:t>Beyond leadership: </w:t>
      </w:r>
      <w:r>
        <w:rPr>
          <w:i/>
          <w:sz w:val="24"/>
        </w:rPr>
        <w:t>balancing economics, ethics, and ecology</w:t>
      </w:r>
      <w:r>
        <w:rPr>
          <w:sz w:val="24"/>
        </w:rPr>
        <w:t>, </w:t>
      </w:r>
      <w:r>
        <w:rPr>
          <w:i/>
          <w:sz w:val="24"/>
        </w:rPr>
        <w:t>Developmental management.</w:t>
      </w:r>
    </w:p>
    <w:p>
      <w:pPr>
        <w:pStyle w:val="BodyText"/>
        <w:spacing w:before="7"/>
        <w:ind w:left="960"/>
      </w:pPr>
      <w:r>
        <w:rPr/>
        <w:t>Cambridge, Mass., USA: Blackwell Business.</w:t>
      </w:r>
    </w:p>
    <w:p>
      <w:pPr>
        <w:spacing w:before="0"/>
        <w:ind w:left="960" w:right="649" w:hanging="720"/>
        <w:jc w:val="left"/>
        <w:rPr>
          <w:sz w:val="24"/>
        </w:rPr>
      </w:pPr>
      <w:r>
        <w:rPr>
          <w:sz w:val="24"/>
        </w:rPr>
        <w:t>Blass, Thomas. 2000. </w:t>
      </w:r>
      <w:r>
        <w:rPr>
          <w:i/>
          <w:sz w:val="24"/>
        </w:rPr>
        <w:t>Obedience to authority: current perspectives on the Milgram </w:t>
      </w:r>
      <w:r>
        <w:rPr>
          <w:i/>
          <w:sz w:val="24"/>
        </w:rPr>
        <w:t>paradigm</w:t>
      </w:r>
      <w:r>
        <w:rPr>
          <w:sz w:val="24"/>
        </w:rPr>
        <w:t>. Mahwah, N.J.: Lawrence Erlbaum Associates.</w:t>
      </w:r>
    </w:p>
    <w:p>
      <w:pPr>
        <w:pStyle w:val="BodyText"/>
        <w:spacing w:line="237" w:lineRule="auto" w:before="10"/>
        <w:ind w:left="960" w:right="510" w:hanging="720"/>
      </w:pPr>
      <w:r>
        <w:rPr/>
        <w:t>Bobocel, D. Ramona, Meyer, John P. 1994. "Escalating Commitment to a Failing Course Of Action: Separating the Roles of Choice and Justification."360-363.</w:t>
      </w:r>
    </w:p>
    <w:p>
      <w:pPr>
        <w:pStyle w:val="BodyText"/>
        <w:ind w:left="960" w:hanging="720"/>
      </w:pPr>
      <w:r>
        <w:rPr/>
        <w:t>Bulkley, K. and Fisler, J. 2002. A decade of charter schools: From theory to practice: CPRE Policy Brief, RB-35.</w:t>
      </w:r>
    </w:p>
    <w:p>
      <w:pPr>
        <w:pStyle w:val="BodyText"/>
        <w:ind w:left="960" w:hanging="720"/>
      </w:pPr>
      <w:r>
        <w:rPr/>
        <w:t>Calles, Jeremy. 2015. Calculations and Issues Related to Percentage of Dollars in the Classroom. Phoenix, AZ: Arizona School Boards Association.</w:t>
      </w:r>
    </w:p>
    <w:p>
      <w:pPr>
        <w:pStyle w:val="BodyText"/>
        <w:ind w:left="960" w:right="128" w:hanging="720"/>
      </w:pPr>
      <w:r>
        <w:rPr/>
        <w:t>Chingos, Matthew M., West, Martin R. 2014. The Uneven Performance of Arizona's Charter Schools. Brookings Institute and Harvard Graduate School of Education.</w:t>
      </w:r>
    </w:p>
    <w:p>
      <w:pPr>
        <w:pStyle w:val="BodyText"/>
        <w:ind w:left="960" w:right="269" w:hanging="720"/>
      </w:pPr>
      <w:r>
        <w:rPr/>
        <w:t>Consoletti, Alison. 2011. The State of Charter Schools: What We Know and What We Do Not - About Performance and Accountability. Washington D.C.: Center for Educational Reform.</w:t>
      </w:r>
    </w:p>
    <w:p>
      <w:pPr>
        <w:pStyle w:val="BodyText"/>
        <w:ind w:left="960" w:hanging="720"/>
      </w:pPr>
      <w:r>
        <w:rPr/>
        <w:t>Davenport, Debra K. 2013. Performance Audit and Sunset Review: State Board for Charter Schools. Phoenix, AZ: AZ Auditor General's Office.</w:t>
      </w:r>
    </w:p>
    <w:p>
      <w:pPr>
        <w:spacing w:line="244" w:lineRule="auto" w:before="0"/>
        <w:ind w:left="960" w:right="88" w:hanging="720"/>
        <w:jc w:val="left"/>
        <w:rPr>
          <w:sz w:val="24"/>
        </w:rPr>
      </w:pPr>
      <w:r>
        <w:rPr>
          <w:sz w:val="24"/>
        </w:rPr>
        <w:t>Dewey, John. 1891. </w:t>
      </w:r>
      <w:r>
        <w:rPr>
          <w:i/>
          <w:sz w:val="24"/>
        </w:rPr>
        <w:t>Outlines of a critical theory of ethics</w:t>
      </w:r>
      <w:r>
        <w:rPr>
          <w:sz w:val="24"/>
        </w:rPr>
        <w:t>. Ann Arbor,: Michigan Register publishing company.</w:t>
      </w:r>
    </w:p>
    <w:p>
      <w:pPr>
        <w:spacing w:after="0" w:line="244" w:lineRule="auto"/>
        <w:jc w:val="left"/>
        <w:rPr>
          <w:sz w:val="24"/>
        </w:rPr>
        <w:sectPr>
          <w:footerReference w:type="default" r:id="rId72"/>
          <w:pgSz w:w="12240" w:h="15840"/>
          <w:pgMar w:footer="1002" w:header="740" w:top="940" w:bottom="1200" w:left="1200" w:right="1380"/>
        </w:sectPr>
      </w:pPr>
    </w:p>
    <w:p>
      <w:pPr>
        <w:pStyle w:val="BodyText"/>
        <w:rPr>
          <w:sz w:val="20"/>
        </w:rPr>
      </w:pPr>
    </w:p>
    <w:p>
      <w:pPr>
        <w:pStyle w:val="BodyText"/>
        <w:spacing w:before="5"/>
        <w:rPr>
          <w:sz w:val="21"/>
        </w:rPr>
      </w:pPr>
    </w:p>
    <w:p>
      <w:pPr>
        <w:pStyle w:val="BodyText"/>
        <w:ind w:left="840" w:right="381" w:hanging="720"/>
      </w:pPr>
      <w:r>
        <w:rPr/>
        <w:t>Editors, PRWatch. 21015. Charter School Black Hole: CMD Special Investigation Reveals Huge Info Gap on Charter Spending. 2017 (April 1, 2017): A report on financial issues with how charters report on federal grants.</w:t>
      </w:r>
    </w:p>
    <w:p>
      <w:pPr>
        <w:spacing w:line="240" w:lineRule="auto" w:before="0"/>
        <w:ind w:left="838" w:right="565" w:hanging="720"/>
        <w:jc w:val="left"/>
        <w:rPr>
          <w:sz w:val="24"/>
        </w:rPr>
      </w:pPr>
      <w:r>
        <w:rPr>
          <w:sz w:val="24"/>
        </w:rPr>
        <w:t>Fabricant, Michael, and Michelle Fine. 2012. </w:t>
      </w:r>
      <w:r>
        <w:rPr>
          <w:i/>
          <w:sz w:val="24"/>
        </w:rPr>
        <w:t>Charter schools and the corporate </w:t>
      </w:r>
      <w:r>
        <w:rPr>
          <w:i/>
          <w:sz w:val="24"/>
        </w:rPr>
        <w:t>makeover of public education: what's at stake? </w:t>
      </w:r>
      <w:r>
        <w:rPr>
          <w:sz w:val="24"/>
        </w:rPr>
        <w:t>New York: Teachers College.</w:t>
      </w:r>
    </w:p>
    <w:p>
      <w:pPr>
        <w:spacing w:line="240" w:lineRule="auto" w:before="5"/>
        <w:ind w:left="840" w:right="89" w:hanging="720"/>
        <w:jc w:val="left"/>
        <w:rPr>
          <w:sz w:val="24"/>
        </w:rPr>
      </w:pPr>
      <w:r>
        <w:rPr>
          <w:sz w:val="24"/>
        </w:rPr>
        <w:t>Friedman, Milton. 1984. </w:t>
      </w:r>
      <w:r>
        <w:rPr>
          <w:i/>
          <w:sz w:val="24"/>
        </w:rPr>
        <w:t>The suicidal impulse of the business community: based on </w:t>
      </w:r>
      <w:r>
        <w:rPr>
          <w:i/>
          <w:sz w:val="24"/>
        </w:rPr>
        <w:t>remarks delivered at the Hoover Pacific Coast Seminar dinner, October 25, 1983</w:t>
      </w:r>
      <w:r>
        <w:rPr>
          <w:sz w:val="24"/>
        </w:rPr>
        <w:t>. Stanford: Board of Trustees of the Leland Stanford Junior University.</w:t>
      </w:r>
    </w:p>
    <w:p>
      <w:pPr>
        <w:spacing w:line="242" w:lineRule="auto" w:before="0"/>
        <w:ind w:left="840" w:right="213" w:hanging="720"/>
        <w:jc w:val="left"/>
        <w:rPr>
          <w:sz w:val="24"/>
        </w:rPr>
      </w:pPr>
      <w:r>
        <w:rPr>
          <w:sz w:val="24"/>
        </w:rPr>
        <w:t>Friedman, Milton. 1993. </w:t>
      </w:r>
      <w:r>
        <w:rPr>
          <w:i/>
          <w:sz w:val="24"/>
        </w:rPr>
        <w:t>Why government is the problem / Milton Friedman</w:t>
      </w:r>
      <w:r>
        <w:rPr>
          <w:sz w:val="24"/>
        </w:rPr>
        <w:t>, </w:t>
      </w:r>
      <w:r>
        <w:rPr>
          <w:i/>
          <w:sz w:val="24"/>
        </w:rPr>
        <w:t>Essays in </w:t>
      </w:r>
      <w:r>
        <w:rPr>
          <w:i/>
          <w:sz w:val="24"/>
        </w:rPr>
        <w:t>public policy</w:t>
      </w:r>
      <w:r>
        <w:rPr>
          <w:sz w:val="24"/>
        </w:rPr>
        <w:t>. Stanford, Calif.: Hoover Institution on War, Revolution, and Peace, Stanford University.</w:t>
      </w:r>
    </w:p>
    <w:p>
      <w:pPr>
        <w:pStyle w:val="BodyText"/>
        <w:ind w:left="840" w:right="199" w:hanging="720"/>
      </w:pPr>
      <w:r>
        <w:rPr/>
        <w:t>Friedman, Milton. 1999. Policy Forum: "Milton Friedman on business suicide". In </w:t>
      </w:r>
      <w:r>
        <w:rPr>
          <w:i/>
        </w:rPr>
        <w:t>CATO </w:t>
      </w:r>
      <w:r>
        <w:rPr>
          <w:i/>
        </w:rPr>
        <w:t>Policy Report</w:t>
      </w:r>
      <w:r>
        <w:rPr/>
        <w:t>. Washington, DC: CATO Institute.</w:t>
      </w:r>
    </w:p>
    <w:p>
      <w:pPr>
        <w:pStyle w:val="BodyText"/>
        <w:spacing w:line="244" w:lineRule="auto" w:before="2"/>
        <w:ind w:left="840" w:right="1169" w:hanging="720"/>
      </w:pPr>
      <w:r>
        <w:rPr/>
        <w:t>Friedman, Milton, and Rose D. Friedman. 2002. </w:t>
      </w:r>
      <w:r>
        <w:rPr>
          <w:i/>
        </w:rPr>
        <w:t>Capitalism and freedom</w:t>
      </w:r>
      <w:r>
        <w:rPr/>
        <w:t>. 40th anniversary ed. Chicago: University of Chicago Press.</w:t>
      </w:r>
    </w:p>
    <w:p>
      <w:pPr>
        <w:spacing w:line="240" w:lineRule="auto" w:before="0"/>
        <w:ind w:left="840" w:right="751" w:hanging="720"/>
        <w:jc w:val="left"/>
        <w:rPr>
          <w:sz w:val="24"/>
        </w:rPr>
      </w:pPr>
      <w:r>
        <w:rPr>
          <w:sz w:val="24"/>
        </w:rPr>
        <w:t>Friedman, Milton R., and Patrick A. Randolph. 2004. </w:t>
      </w:r>
      <w:r>
        <w:rPr>
          <w:i/>
          <w:sz w:val="24"/>
        </w:rPr>
        <w:t>Friedman on leases</w:t>
      </w:r>
      <w:r>
        <w:rPr>
          <w:sz w:val="24"/>
        </w:rPr>
        <w:t>. 5th ed, </w:t>
      </w:r>
      <w:r>
        <w:rPr>
          <w:i/>
          <w:sz w:val="24"/>
        </w:rPr>
        <w:t>Practising law institute's real property law library</w:t>
      </w:r>
      <w:r>
        <w:rPr>
          <w:sz w:val="24"/>
        </w:rPr>
        <w:t>. New York: Practising Law Institute.</w:t>
      </w:r>
    </w:p>
    <w:p>
      <w:pPr>
        <w:spacing w:before="8"/>
        <w:ind w:left="840" w:right="229" w:hanging="720"/>
        <w:jc w:val="left"/>
        <w:rPr>
          <w:sz w:val="24"/>
        </w:rPr>
      </w:pPr>
      <w:r>
        <w:rPr>
          <w:sz w:val="24"/>
        </w:rPr>
        <w:t>Friedman, Milton R., and James Charles Smith. 2005. </w:t>
      </w:r>
      <w:r>
        <w:rPr>
          <w:i/>
          <w:sz w:val="24"/>
        </w:rPr>
        <w:t>Friedman on contracts and </w:t>
      </w:r>
      <w:r>
        <w:rPr>
          <w:i/>
          <w:sz w:val="24"/>
        </w:rPr>
        <w:t>conveyances of real property</w:t>
      </w:r>
      <w:r>
        <w:rPr>
          <w:sz w:val="24"/>
        </w:rPr>
        <w:t>. 7th ed, </w:t>
      </w:r>
      <w:r>
        <w:rPr>
          <w:i/>
          <w:sz w:val="24"/>
        </w:rPr>
        <w:t>Practising Law Institute's real property law </w:t>
      </w:r>
      <w:r>
        <w:rPr>
          <w:i/>
          <w:sz w:val="24"/>
        </w:rPr>
        <w:t>library</w:t>
      </w:r>
      <w:r>
        <w:rPr>
          <w:sz w:val="24"/>
        </w:rPr>
        <w:t>. New York City: Practising Law Institute.</w:t>
      </w:r>
    </w:p>
    <w:p>
      <w:pPr>
        <w:spacing w:before="0"/>
        <w:ind w:left="840" w:right="208" w:hanging="720"/>
        <w:jc w:val="left"/>
        <w:rPr>
          <w:sz w:val="24"/>
        </w:rPr>
      </w:pPr>
      <w:r>
        <w:rPr>
          <w:sz w:val="24"/>
        </w:rPr>
        <w:t>Friedman, Milton, and Richard T. Selden. 1975. </w:t>
      </w:r>
      <w:r>
        <w:rPr>
          <w:i/>
          <w:sz w:val="24"/>
        </w:rPr>
        <w:t>Capitalism and freedom: problems and </w:t>
      </w:r>
      <w:r>
        <w:rPr>
          <w:i/>
          <w:sz w:val="24"/>
        </w:rPr>
        <w:t>prospects; proceedings of a conference in honor of Milton Friedman</w:t>
      </w:r>
      <w:r>
        <w:rPr>
          <w:sz w:val="24"/>
        </w:rPr>
        <w:t>.</w:t>
      </w:r>
    </w:p>
    <w:p>
      <w:pPr>
        <w:pStyle w:val="BodyText"/>
        <w:spacing w:line="275" w:lineRule="exact" w:before="7"/>
        <w:ind w:left="840"/>
      </w:pPr>
      <w:r>
        <w:rPr/>
        <w:t>Charlottesville,: University Press of Virginia.</w:t>
      </w:r>
    </w:p>
    <w:p>
      <w:pPr>
        <w:pStyle w:val="BodyText"/>
        <w:ind w:left="840" w:right="257" w:hanging="720"/>
      </w:pPr>
      <w:r>
        <w:rPr/>
        <w:t>Fuller, Bruce F., Ed. Elmore, Richard, Ed. 1997. "Who Chooses? Who Loses? Culture, Institutions and the Unequal Effects of School Choice.".</w:t>
      </w:r>
    </w:p>
    <w:p>
      <w:pPr>
        <w:pStyle w:val="BodyText"/>
        <w:spacing w:before="1"/>
        <w:ind w:left="840" w:right="213" w:hanging="720"/>
      </w:pPr>
      <w:r>
        <w:rPr/>
        <w:t>Green, Preston C and Baker, Bruce D. and Oluwole, Joseph. 2017. "Are Charters the Second Coming of Enron? An Examination of the Gatekeepers That Protect against Dangerous Related Party Transactions in the Charter School Sector." </w:t>
      </w:r>
      <w:r>
        <w:rPr>
          <w:i/>
        </w:rPr>
        <w:t>Indiana Law Journal </w:t>
      </w:r>
      <w:r>
        <w:rPr/>
        <w:t>93:52.</w:t>
      </w:r>
    </w:p>
    <w:p>
      <w:pPr>
        <w:pStyle w:val="BodyText"/>
        <w:spacing w:before="4"/>
        <w:ind w:left="840" w:right="289" w:hanging="720"/>
      </w:pPr>
      <w:r>
        <w:rPr/>
        <w:t>Hall, James. 2015. Director Glenn Way Diverts American Leadership Acaemy Properties to his Privat Ownership - and Hides the Fact from the State and IRS. Arizonans for Charter School Accountability.</w:t>
      </w:r>
    </w:p>
    <w:p>
      <w:pPr>
        <w:pStyle w:val="BodyText"/>
        <w:ind w:left="840" w:right="213" w:hanging="720"/>
      </w:pPr>
      <w:r>
        <w:rPr/>
        <w:t>Hall, James. 2017. The Consequences of Unregulated Charter Schools in Arizona: For Profit American Virtual Academy Nets $10 Million Profit in 2016 After Siphoning</w:t>
      </w:r>
    </w:p>
    <w:p>
      <w:pPr>
        <w:pStyle w:val="BodyText"/>
        <w:ind w:left="840" w:right="810"/>
      </w:pPr>
      <w:r>
        <w:rPr/>
        <w:t>$84 Million from Nonprofit Primavera Online. Arizonans for CHarter School Accountability.</w:t>
      </w:r>
    </w:p>
    <w:p>
      <w:pPr>
        <w:pStyle w:val="BodyText"/>
        <w:ind w:left="840" w:right="213" w:hanging="720"/>
      </w:pPr>
      <w:r>
        <w:rPr/>
        <w:t>Hassel, Bryan C. and Terrell, Michelle Godard. 2004. The Rugged Frontier: A Decade of Public Charter Schools in Arizona. edited by Progressive Policy Institute. </w:t>
      </w:r>
      <w:hyperlink r:id="rId78">
        <w:r>
          <w:rPr/>
          <w:t>www.ppionline.org </w:t>
        </w:r>
      </w:hyperlink>
      <w:r>
        <w:rPr/>
        <w:t>Progressive Policy Institute.</w:t>
      </w:r>
    </w:p>
    <w:p>
      <w:pPr>
        <w:spacing w:line="242" w:lineRule="auto" w:before="0"/>
        <w:ind w:left="840" w:right="422" w:hanging="720"/>
        <w:jc w:val="left"/>
        <w:rPr>
          <w:sz w:val="24"/>
        </w:rPr>
      </w:pPr>
      <w:r>
        <w:rPr>
          <w:sz w:val="24"/>
        </w:rPr>
        <w:t>Hayek, Friedrich A. von. 1939. </w:t>
      </w:r>
      <w:r>
        <w:rPr>
          <w:i/>
          <w:sz w:val="24"/>
        </w:rPr>
        <w:t>Freedom and the economic system</w:t>
      </w:r>
      <w:r>
        <w:rPr>
          <w:sz w:val="24"/>
        </w:rPr>
        <w:t>, </w:t>
      </w:r>
      <w:r>
        <w:rPr>
          <w:i/>
          <w:sz w:val="24"/>
        </w:rPr>
        <w:t>Public policy </w:t>
      </w:r>
      <w:r>
        <w:rPr>
          <w:i/>
          <w:sz w:val="24"/>
        </w:rPr>
        <w:t>pamphlet no 29 H D Gideonse, editor</w:t>
      </w:r>
      <w:r>
        <w:rPr>
          <w:sz w:val="24"/>
        </w:rPr>
        <w:t>. Chicago, Ill.,: The University of Chicago press.</w:t>
      </w:r>
    </w:p>
    <w:p>
      <w:pPr>
        <w:spacing w:line="240" w:lineRule="auto" w:before="0"/>
        <w:ind w:left="840" w:right="515" w:hanging="720"/>
        <w:jc w:val="left"/>
        <w:rPr>
          <w:sz w:val="24"/>
        </w:rPr>
      </w:pPr>
      <w:r>
        <w:rPr>
          <w:sz w:val="24"/>
        </w:rPr>
        <w:t>Hayek, Friedrich A. von. 1976. </w:t>
      </w:r>
      <w:r>
        <w:rPr>
          <w:i/>
          <w:sz w:val="24"/>
        </w:rPr>
        <w:t>The mirage of social justice</w:t>
      </w:r>
      <w:r>
        <w:rPr>
          <w:sz w:val="24"/>
        </w:rPr>
        <w:t>, </w:t>
      </w:r>
      <w:r>
        <w:rPr>
          <w:i/>
          <w:sz w:val="24"/>
        </w:rPr>
        <w:t>His Law, legislation, and </w:t>
      </w:r>
      <w:r>
        <w:rPr>
          <w:i/>
          <w:sz w:val="24"/>
        </w:rPr>
        <w:t>liberty</w:t>
      </w:r>
      <w:r>
        <w:rPr>
          <w:sz w:val="24"/>
        </w:rPr>
        <w:t>. Chicago: University of Chicago Press.</w:t>
      </w:r>
    </w:p>
    <w:p>
      <w:pPr>
        <w:spacing w:after="0" w:line="240" w:lineRule="auto"/>
        <w:jc w:val="left"/>
        <w:rPr>
          <w:sz w:val="24"/>
        </w:rPr>
        <w:sectPr>
          <w:footerReference w:type="default" r:id="rId77"/>
          <w:pgSz w:w="12240" w:h="15840"/>
          <w:pgMar w:footer="1002" w:header="740" w:top="940" w:bottom="1200" w:left="1320" w:right="1340"/>
          <w:pgNumType w:start="81"/>
        </w:sectPr>
      </w:pPr>
    </w:p>
    <w:p>
      <w:pPr>
        <w:pStyle w:val="BodyText"/>
        <w:rPr>
          <w:sz w:val="20"/>
        </w:rPr>
      </w:pPr>
    </w:p>
    <w:p>
      <w:pPr>
        <w:pStyle w:val="BodyText"/>
        <w:rPr>
          <w:sz w:val="21"/>
        </w:rPr>
      </w:pPr>
    </w:p>
    <w:p>
      <w:pPr>
        <w:spacing w:line="240" w:lineRule="auto" w:before="0"/>
        <w:ind w:left="820" w:right="342" w:hanging="720"/>
        <w:jc w:val="left"/>
        <w:rPr>
          <w:sz w:val="24"/>
        </w:rPr>
      </w:pPr>
      <w:r>
        <w:rPr>
          <w:sz w:val="24"/>
        </w:rPr>
        <w:t>Hayek, Friedrich A. von. 1979. </w:t>
      </w:r>
      <w:r>
        <w:rPr>
          <w:i/>
          <w:sz w:val="24"/>
        </w:rPr>
        <w:t>Social justice, socialism &amp; democracy: three Australian </w:t>
      </w:r>
      <w:r>
        <w:rPr>
          <w:i/>
          <w:sz w:val="24"/>
        </w:rPr>
        <w:t>lectures</w:t>
      </w:r>
      <w:r>
        <w:rPr>
          <w:sz w:val="24"/>
        </w:rPr>
        <w:t>, </w:t>
      </w:r>
      <w:r>
        <w:rPr>
          <w:i/>
          <w:sz w:val="24"/>
        </w:rPr>
        <w:t>CIS occasional papers,</w:t>
      </w:r>
      <w:r>
        <w:rPr>
          <w:sz w:val="24"/>
        </w:rPr>
        <w:t>. Turramurra, N.S.W.: Centre for Independent Studies.</w:t>
      </w:r>
    </w:p>
    <w:p>
      <w:pPr>
        <w:spacing w:line="240" w:lineRule="auto" w:before="0"/>
        <w:ind w:left="820" w:right="422" w:hanging="720"/>
        <w:jc w:val="left"/>
        <w:rPr>
          <w:sz w:val="24"/>
        </w:rPr>
      </w:pPr>
      <w:r>
        <w:rPr>
          <w:sz w:val="24"/>
        </w:rPr>
        <w:t>Hayek, Friedrich A. von. 2013. </w:t>
      </w:r>
      <w:r>
        <w:rPr>
          <w:i/>
          <w:sz w:val="24"/>
        </w:rPr>
        <w:t>Law, legislation, and liberty: a new statement of the </w:t>
      </w:r>
      <w:r>
        <w:rPr>
          <w:i/>
          <w:sz w:val="24"/>
        </w:rPr>
        <w:t>liberal principles of justice and political economy</w:t>
      </w:r>
      <w:r>
        <w:rPr>
          <w:sz w:val="24"/>
        </w:rPr>
        <w:t>. London: Routledge Classics.</w:t>
      </w:r>
    </w:p>
    <w:p>
      <w:pPr>
        <w:spacing w:line="240" w:lineRule="auto" w:before="7"/>
        <w:ind w:left="820" w:right="103" w:hanging="720"/>
        <w:jc w:val="both"/>
        <w:rPr>
          <w:sz w:val="24"/>
        </w:rPr>
      </w:pPr>
      <w:r>
        <w:rPr>
          <w:sz w:val="24"/>
        </w:rPr>
        <w:t>Hayek, Friedrich A. von, and William Warren Bartley. 1988. </w:t>
      </w:r>
      <w:r>
        <w:rPr>
          <w:i/>
          <w:sz w:val="24"/>
        </w:rPr>
        <w:t>The fatal conceit: the errors </w:t>
      </w:r>
      <w:r>
        <w:rPr>
          <w:i/>
          <w:sz w:val="24"/>
        </w:rPr>
        <w:t>of socialism</w:t>
      </w:r>
      <w:r>
        <w:rPr>
          <w:sz w:val="24"/>
        </w:rPr>
        <w:t>, </w:t>
      </w:r>
      <w:r>
        <w:rPr>
          <w:i/>
          <w:sz w:val="24"/>
        </w:rPr>
        <w:t>The Collected works of Friedrich August Hayek</w:t>
      </w:r>
      <w:r>
        <w:rPr>
          <w:sz w:val="24"/>
        </w:rPr>
        <w:t>. London; New York, N.Y.: Routledge.</w:t>
      </w:r>
    </w:p>
    <w:p>
      <w:pPr>
        <w:spacing w:line="240" w:lineRule="auto" w:before="0"/>
        <w:ind w:left="820" w:right="342" w:hanging="720"/>
        <w:jc w:val="left"/>
        <w:rPr>
          <w:sz w:val="24"/>
        </w:rPr>
      </w:pPr>
      <w:r>
        <w:rPr>
          <w:sz w:val="24"/>
        </w:rPr>
        <w:t>Hirschman, Albert O. 1970. </w:t>
      </w:r>
      <w:r>
        <w:rPr>
          <w:i/>
          <w:sz w:val="24"/>
        </w:rPr>
        <w:t>Exit, voice, and loyalty; responses to decline in firms, </w:t>
      </w:r>
      <w:r>
        <w:rPr>
          <w:i/>
          <w:sz w:val="24"/>
        </w:rPr>
        <w:t>organizations, and states</w:t>
      </w:r>
      <w:r>
        <w:rPr>
          <w:sz w:val="24"/>
        </w:rPr>
        <w:t>. Cambridge, Mass.,: Harvard University Press.</w:t>
      </w:r>
    </w:p>
    <w:p>
      <w:pPr>
        <w:pStyle w:val="BodyText"/>
        <w:spacing w:line="244" w:lineRule="auto" w:before="6"/>
        <w:ind w:left="100" w:right="889"/>
      </w:pPr>
      <w:r>
        <w:rPr/>
        <w:t>Hoxby, Caroline M. 2003. "Reforms for Whom?" </w:t>
      </w:r>
      <w:r>
        <w:rPr>
          <w:i/>
        </w:rPr>
        <w:t>Education Next </w:t>
      </w:r>
      <w:r>
        <w:rPr/>
        <w:t>3 (2):47-51. James L. Woodworth, Margaret E. Raymond, Kurt Chirbas, Maribel Gonzales,</w:t>
      </w:r>
    </w:p>
    <w:p>
      <w:pPr>
        <w:pStyle w:val="BodyText"/>
        <w:ind w:left="820" w:right="342"/>
      </w:pPr>
      <w:r>
        <w:rPr/>
        <w:t>Yohannes Negassi, Will Snow and Chritine Van Donge. 2015. Online Charter School Study, 2015. Center for Research on Educational Outcomes (CREDO).</w:t>
      </w:r>
    </w:p>
    <w:p>
      <w:pPr>
        <w:pStyle w:val="BodyText"/>
        <w:spacing w:before="10"/>
        <w:ind w:left="820" w:right="1155" w:hanging="720"/>
      </w:pPr>
      <w:r>
        <w:rPr/>
        <w:t>Joint Legislative Budget Committee.2017. Overview of K-12 per Pupil Funding for School Districts and Charters Schools. June 26. </w:t>
      </w:r>
      <w:hyperlink r:id="rId79">
        <w:r>
          <w:rPr/>
          <w:t>http://www.azleg.gov/jlbc/districtvscharterfunding.pdf.</w:t>
        </w:r>
      </w:hyperlink>
    </w:p>
    <w:p>
      <w:pPr>
        <w:pStyle w:val="BodyText"/>
        <w:ind w:left="820" w:right="275" w:hanging="720"/>
      </w:pPr>
      <w:r>
        <w:rPr/>
        <w:t>King, Dr. Martin Luther. 1962. "An Address by the Reverend Dr. Martin Luther King Jr. at Cornell College." Mount Vernon, Iowa, October 15, 1962.</w:t>
      </w:r>
    </w:p>
    <w:p>
      <w:pPr>
        <w:spacing w:line="244" w:lineRule="auto" w:before="0"/>
        <w:ind w:left="820" w:right="275" w:hanging="720"/>
        <w:jc w:val="left"/>
        <w:rPr>
          <w:sz w:val="24"/>
        </w:rPr>
      </w:pPr>
      <w:r>
        <w:rPr>
          <w:sz w:val="24"/>
        </w:rPr>
        <w:t>Knight, Frank H., and Milton Friedman. 1935. </w:t>
      </w:r>
      <w:r>
        <w:rPr>
          <w:i/>
          <w:sz w:val="24"/>
        </w:rPr>
        <w:t>The ethics of competition</w:t>
      </w:r>
      <w:r>
        <w:rPr>
          <w:sz w:val="24"/>
        </w:rPr>
        <w:t>. New York and London,: Harper &amp; brothers.</w:t>
      </w:r>
    </w:p>
    <w:p>
      <w:pPr>
        <w:spacing w:line="240" w:lineRule="auto" w:before="0"/>
        <w:ind w:left="820" w:right="889" w:hanging="720"/>
        <w:jc w:val="left"/>
        <w:rPr>
          <w:sz w:val="24"/>
        </w:rPr>
      </w:pPr>
      <w:r>
        <w:rPr>
          <w:sz w:val="24"/>
        </w:rPr>
        <w:t>Pojman, Louis P., Lewis Vaughn, and Lewis Vaughn. 2014. </w:t>
      </w:r>
      <w:r>
        <w:rPr>
          <w:i/>
          <w:sz w:val="24"/>
        </w:rPr>
        <w:t>The moral life: an </w:t>
      </w:r>
      <w:r>
        <w:rPr>
          <w:i/>
          <w:sz w:val="24"/>
        </w:rPr>
        <w:t>introductory reader in ethics and literature</w:t>
      </w:r>
      <w:r>
        <w:rPr>
          <w:sz w:val="24"/>
        </w:rPr>
        <w:t>. Fifth edition. New York: Oxford University Press.</w:t>
      </w:r>
    </w:p>
    <w:p>
      <w:pPr>
        <w:spacing w:line="237" w:lineRule="auto" w:before="8"/>
        <w:ind w:left="820" w:right="756" w:hanging="720"/>
        <w:jc w:val="left"/>
        <w:rPr>
          <w:sz w:val="24"/>
        </w:rPr>
      </w:pPr>
      <w:r>
        <w:rPr>
          <w:sz w:val="24"/>
        </w:rPr>
        <w:t>Raymond, Margaret E. and Woodworth, James L. 2013. CREDO National Charter School Study 2013. In </w:t>
      </w:r>
      <w:r>
        <w:rPr>
          <w:i/>
          <w:sz w:val="24"/>
        </w:rPr>
        <w:t>CREDO Center for Research on Educational </w:t>
      </w:r>
      <w:r>
        <w:rPr>
          <w:i/>
          <w:sz w:val="24"/>
        </w:rPr>
        <w:t>Outcomes</w:t>
      </w:r>
      <w:r>
        <w:rPr>
          <w:sz w:val="24"/>
        </w:rPr>
        <w:t>: CREDO.</w:t>
      </w:r>
    </w:p>
    <w:p>
      <w:pPr>
        <w:pStyle w:val="BodyText"/>
        <w:ind w:left="820" w:right="359" w:hanging="720"/>
      </w:pPr>
      <w:r>
        <w:rPr/>
        <w:t>Ryman, Anne. 2012. "Insiders Benefiting from Charter Deals." </w:t>
      </w:r>
      <w:r>
        <w:rPr>
          <w:i/>
        </w:rPr>
        <w:t>The Arizona Republic</w:t>
      </w:r>
      <w:r>
        <w:rPr/>
        <w:t>, November 12, 2012, 10. </w:t>
      </w:r>
      <w:hyperlink r:id="rId80">
        <w:r>
          <w:rPr/>
          <w:t>http://archive.azcentral.com/news/articles/20121016insiders-benefiting-charter-</w:t>
        </w:r>
      </w:hyperlink>
      <w:r>
        <w:rPr/>
        <w:t> </w:t>
      </w:r>
      <w:hyperlink r:id="rId80">
        <w:r>
          <w:rPr/>
          <w:t>deals.html</w:t>
        </w:r>
      </w:hyperlink>
      <w:r>
        <w:rPr/>
        <w:t>.</w:t>
      </w:r>
    </w:p>
    <w:p>
      <w:pPr>
        <w:pStyle w:val="BodyText"/>
        <w:ind w:left="820" w:right="280" w:hanging="720"/>
      </w:pPr>
      <w:r>
        <w:rPr/>
        <w:t>Smith, Mitch. 2015. "Chicago Schools Chief Resigns Amid Federal Investigation." </w:t>
      </w:r>
      <w:r>
        <w:rPr>
          <w:i/>
        </w:rPr>
        <w:t>New </w:t>
      </w:r>
      <w:r>
        <w:rPr>
          <w:i/>
        </w:rPr>
        <w:t>York Times</w:t>
      </w:r>
      <w:r>
        <w:rPr/>
        <w:t>. </w:t>
      </w:r>
      <w:hyperlink r:id="rId81">
        <w:r>
          <w:rPr/>
          <w:t>https://www.nytimes.com/2015/06/02/us/chicago-schools-chief-</w:t>
        </w:r>
      </w:hyperlink>
      <w:r>
        <w:rPr/>
        <w:t> </w:t>
      </w:r>
      <w:hyperlink r:id="rId81">
        <w:r>
          <w:rPr/>
          <w:t>resigns-amid-federal-investigation.html?_r=0</w:t>
        </w:r>
      </w:hyperlink>
      <w:r>
        <w:rPr/>
        <w:t>.</w:t>
      </w:r>
    </w:p>
    <w:p>
      <w:pPr>
        <w:spacing w:line="240" w:lineRule="auto" w:before="2"/>
        <w:ind w:left="820" w:right="48" w:hanging="720"/>
        <w:jc w:val="left"/>
        <w:rPr>
          <w:sz w:val="24"/>
        </w:rPr>
      </w:pPr>
      <w:r>
        <w:rPr>
          <w:sz w:val="24"/>
        </w:rPr>
        <w:t>Society for Economic Anthropology (U.S.). Meeting (2006: Ventura Calif.), Katherine E. Browne, and B. Lynne Milgram. 2009. </w:t>
      </w:r>
      <w:r>
        <w:rPr>
          <w:i/>
          <w:sz w:val="24"/>
        </w:rPr>
        <w:t>Economics and morality: anthropological </w:t>
      </w:r>
      <w:r>
        <w:rPr>
          <w:i/>
          <w:sz w:val="24"/>
        </w:rPr>
        <w:t>approaches</w:t>
      </w:r>
      <w:r>
        <w:rPr>
          <w:sz w:val="24"/>
        </w:rPr>
        <w:t>, </w:t>
      </w:r>
      <w:r>
        <w:rPr>
          <w:i/>
          <w:sz w:val="24"/>
        </w:rPr>
        <w:t>Society for Economic Anthropology (SEA) monographs</w:t>
      </w:r>
      <w:r>
        <w:rPr>
          <w:sz w:val="24"/>
        </w:rPr>
        <w:t>. Lanham: Alta Mira Press.</w:t>
      </w:r>
    </w:p>
    <w:p>
      <w:pPr>
        <w:pStyle w:val="BodyText"/>
        <w:ind w:left="820" w:right="48" w:hanging="720"/>
      </w:pPr>
      <w:r>
        <w:rPr/>
        <w:t>Staff, AZ Department of Education. 2015. Annual Report of the Superintendent of Public Instruction. Phoenix, AZ: Arizona Department of Education.</w:t>
      </w:r>
    </w:p>
    <w:p>
      <w:pPr>
        <w:spacing w:line="242" w:lineRule="auto" w:before="0"/>
        <w:ind w:left="820" w:right="302" w:hanging="720"/>
        <w:jc w:val="left"/>
        <w:rPr>
          <w:sz w:val="24"/>
        </w:rPr>
      </w:pPr>
      <w:r>
        <w:rPr>
          <w:sz w:val="24"/>
        </w:rPr>
        <w:t>Werhane, Patricia Hogue. 2013. </w:t>
      </w:r>
      <w:r>
        <w:rPr>
          <w:i/>
          <w:sz w:val="24"/>
        </w:rPr>
        <w:t>Obstacles to ethical decision-making: mental models, </w:t>
      </w:r>
      <w:r>
        <w:rPr>
          <w:i/>
          <w:sz w:val="24"/>
        </w:rPr>
        <w:t>Milgram and the problem of obedience</w:t>
      </w:r>
      <w:r>
        <w:rPr>
          <w:sz w:val="24"/>
        </w:rPr>
        <w:t>. Cambridge; New York: Cambridge University Press.</w:t>
      </w:r>
    </w:p>
    <w:p>
      <w:pPr>
        <w:spacing w:line="235" w:lineRule="auto" w:before="7"/>
        <w:ind w:left="820" w:right="342" w:hanging="720"/>
        <w:jc w:val="left"/>
        <w:rPr>
          <w:sz w:val="24"/>
        </w:rPr>
      </w:pPr>
      <w:r>
        <w:rPr>
          <w:sz w:val="24"/>
        </w:rPr>
        <w:t>West, Martin R. and Chingos, Matthew W. 2014. Mixed Results for Arizona's Charter Schools. In </w:t>
      </w:r>
      <w:r>
        <w:rPr>
          <w:i/>
          <w:sz w:val="24"/>
        </w:rPr>
        <w:t>The Brown Center Chalkboard Series Archive</w:t>
      </w:r>
      <w:r>
        <w:rPr>
          <w:sz w:val="24"/>
        </w:rPr>
        <w:t>: Brookings Institute</w:t>
      </w:r>
    </w:p>
    <w:p>
      <w:pPr>
        <w:spacing w:line="274" w:lineRule="exact" w:before="0"/>
        <w:ind w:left="100" w:right="0" w:firstLine="0"/>
        <w:jc w:val="left"/>
        <w:rPr>
          <w:i/>
          <w:sz w:val="24"/>
        </w:rPr>
      </w:pPr>
      <w:r>
        <w:rPr>
          <w:sz w:val="24"/>
        </w:rPr>
        <w:t>Witte, John F. 1999. The Milwaukee Voucher Experiment. In </w:t>
      </w:r>
      <w:r>
        <w:rPr>
          <w:i/>
          <w:sz w:val="24"/>
        </w:rPr>
        <w:t>Phi Delta Kappan</w:t>
      </w:r>
    </w:p>
    <w:p>
      <w:pPr>
        <w:spacing w:after="0" w:line="274" w:lineRule="exact"/>
        <w:jc w:val="left"/>
        <w:rPr>
          <w:sz w:val="24"/>
        </w:rPr>
        <w:sectPr>
          <w:pgSz w:w="12240" w:h="15840"/>
          <w:pgMar w:header="740" w:footer="1002" w:top="940" w:bottom="1200" w:left="1340" w:right="1340"/>
        </w:sectPr>
      </w:pPr>
    </w:p>
    <w:p>
      <w:pPr>
        <w:pStyle w:val="BodyText"/>
        <w:rPr>
          <w:i/>
          <w:sz w:val="20"/>
        </w:rPr>
      </w:pPr>
    </w:p>
    <w:p>
      <w:pPr>
        <w:pStyle w:val="BodyText"/>
        <w:rPr>
          <w:i/>
          <w:sz w:val="21"/>
        </w:rPr>
      </w:pPr>
    </w:p>
    <w:p>
      <w:pPr>
        <w:spacing w:before="0"/>
        <w:ind w:left="100" w:right="0" w:firstLine="0"/>
        <w:jc w:val="left"/>
        <w:rPr>
          <w:sz w:val="24"/>
        </w:rPr>
      </w:pPr>
      <w:r>
        <w:rPr>
          <w:i/>
          <w:sz w:val="24"/>
        </w:rPr>
        <w:t>Phi Delta Kappan J1 - Phi Delta Kappan</w:t>
      </w:r>
      <w:r>
        <w:rPr>
          <w:sz w:val="24"/>
        </w:rPr>
        <w:t>: Phi Delta Kappan.</w:t>
      </w:r>
    </w:p>
    <w:p>
      <w:pPr>
        <w:spacing w:after="0"/>
        <w:jc w:val="left"/>
        <w:rPr>
          <w:sz w:val="24"/>
        </w:rPr>
        <w:sectPr>
          <w:pgSz w:w="12240" w:h="15840"/>
          <w:pgMar w:header="740" w:footer="1002" w:top="940" w:bottom="1200" w:left="1340" w:right="1720"/>
        </w:sectPr>
      </w:pPr>
    </w:p>
    <w:p>
      <w:pPr>
        <w:pStyle w:val="BodyText"/>
        <w:rPr>
          <w:sz w:val="20"/>
        </w:rPr>
      </w:pPr>
    </w:p>
    <w:p>
      <w:pPr>
        <w:pStyle w:val="Heading1"/>
        <w:ind w:left="220"/>
      </w:pPr>
      <w:bookmarkStart w:name="_bookmark75" w:id="76"/>
      <w:bookmarkEnd w:id="76"/>
      <w:r>
        <w:rPr/>
      </w:r>
      <w:r>
        <w:rPr>
          <w:color w:val="365F91"/>
        </w:rPr>
        <w:t>Addendum A</w:t>
      </w:r>
    </w:p>
    <w:p>
      <w:pPr>
        <w:spacing w:before="235" w:after="49"/>
        <w:ind w:left="220" w:right="0" w:firstLine="0"/>
        <w:jc w:val="left"/>
        <w:rPr>
          <w:b/>
          <w:sz w:val="22"/>
        </w:rPr>
      </w:pPr>
      <w:bookmarkStart w:name="_bookmark76" w:id="77"/>
      <w:bookmarkEnd w:id="77"/>
      <w:r>
        <w:rPr/>
      </w:r>
      <w:r>
        <w:rPr>
          <w:b/>
          <w:color w:val="4F81BC"/>
          <w:sz w:val="22"/>
        </w:rPr>
        <w:t>Listing of Charters with Net Losses over $100,000 with Inconsistent Financials</w:t>
      </w:r>
    </w:p>
    <w:tbl>
      <w:tblPr>
        <w:tblW w:w="0" w:type="auto"/>
        <w:jc w:val="left"/>
        <w:tblInd w:w="102"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4424"/>
        <w:gridCol w:w="1356"/>
        <w:gridCol w:w="1529"/>
        <w:gridCol w:w="1541"/>
      </w:tblGrid>
      <w:tr>
        <w:trPr>
          <w:trHeight w:val="940" w:hRule="atLeast"/>
        </w:trPr>
        <w:tc>
          <w:tcPr>
            <w:tcW w:w="4424" w:type="dxa"/>
            <w:tcBorders>
              <w:left w:val="nil"/>
              <w:bottom w:val="single" w:sz="4" w:space="0" w:color="FFFFFF"/>
              <w:right w:val="nil"/>
            </w:tcBorders>
            <w:shd w:val="clear" w:color="auto" w:fill="000000"/>
          </w:tcPr>
          <w:p>
            <w:pPr>
              <w:pStyle w:val="TableParagraph"/>
              <w:jc w:val="left"/>
              <w:rPr>
                <w:b/>
                <w:sz w:val="24"/>
              </w:rPr>
            </w:pPr>
          </w:p>
          <w:p>
            <w:pPr>
              <w:pStyle w:val="TableParagraph"/>
              <w:spacing w:before="1"/>
              <w:jc w:val="left"/>
              <w:rPr>
                <w:b/>
                <w:sz w:val="19"/>
              </w:rPr>
            </w:pPr>
          </w:p>
          <w:p>
            <w:pPr>
              <w:pStyle w:val="TableParagraph"/>
              <w:ind w:left="1415" w:right="1526"/>
              <w:rPr>
                <w:b/>
                <w:sz w:val="22"/>
              </w:rPr>
            </w:pPr>
            <w:r>
              <w:rPr>
                <w:b/>
                <w:color w:val="FFFFFF"/>
                <w:sz w:val="22"/>
                <w:u w:val="thick" w:color="FFFFFF"/>
              </w:rPr>
              <w:t>Charter Name</w:t>
            </w:r>
          </w:p>
        </w:tc>
        <w:tc>
          <w:tcPr>
            <w:tcW w:w="1356" w:type="dxa"/>
            <w:tcBorders>
              <w:left w:val="nil"/>
              <w:bottom w:val="single" w:sz="4" w:space="0" w:color="FFFFFF"/>
              <w:right w:val="nil"/>
            </w:tcBorders>
            <w:shd w:val="clear" w:color="auto" w:fill="000000"/>
          </w:tcPr>
          <w:p>
            <w:pPr>
              <w:pStyle w:val="TableParagraph"/>
              <w:ind w:left="2" w:right="115" w:firstLine="1"/>
              <w:rPr>
                <w:b/>
                <w:sz w:val="22"/>
              </w:rPr>
            </w:pPr>
            <w:r>
              <w:rPr>
                <w:b/>
                <w:color w:val="FFFFFF"/>
                <w:sz w:val="22"/>
              </w:rPr>
              <w:t>Net  Reported to ADE</w:t>
            </w:r>
          </w:p>
        </w:tc>
        <w:tc>
          <w:tcPr>
            <w:tcW w:w="1529" w:type="dxa"/>
            <w:tcBorders>
              <w:left w:val="nil"/>
              <w:bottom w:val="single" w:sz="4" w:space="0" w:color="FFFFFF"/>
              <w:right w:val="nil"/>
            </w:tcBorders>
            <w:shd w:val="clear" w:color="auto" w:fill="000000"/>
          </w:tcPr>
          <w:p>
            <w:pPr>
              <w:pStyle w:val="TableParagraph"/>
              <w:spacing w:before="2"/>
              <w:jc w:val="left"/>
              <w:rPr>
                <w:b/>
                <w:sz w:val="21"/>
              </w:rPr>
            </w:pPr>
          </w:p>
          <w:p>
            <w:pPr>
              <w:pStyle w:val="TableParagraph"/>
              <w:ind w:left="288" w:right="12" w:hanging="173"/>
              <w:jc w:val="left"/>
              <w:rPr>
                <w:b/>
                <w:sz w:val="22"/>
              </w:rPr>
            </w:pPr>
            <w:r>
              <w:rPr>
                <w:b/>
                <w:color w:val="FFFFFF"/>
                <w:sz w:val="22"/>
              </w:rPr>
              <w:t>Net Reported to ASBCS</w:t>
            </w:r>
          </w:p>
        </w:tc>
        <w:tc>
          <w:tcPr>
            <w:tcW w:w="1541" w:type="dxa"/>
            <w:tcBorders>
              <w:left w:val="nil"/>
              <w:bottom w:val="single" w:sz="4" w:space="0" w:color="FFFFFF"/>
              <w:right w:val="nil"/>
            </w:tcBorders>
            <w:shd w:val="clear" w:color="auto" w:fill="000000"/>
          </w:tcPr>
          <w:p>
            <w:pPr>
              <w:pStyle w:val="TableParagraph"/>
              <w:spacing w:before="2"/>
              <w:jc w:val="left"/>
              <w:rPr>
                <w:b/>
                <w:sz w:val="21"/>
              </w:rPr>
            </w:pPr>
          </w:p>
          <w:p>
            <w:pPr>
              <w:pStyle w:val="TableParagraph"/>
              <w:spacing w:line="252" w:lineRule="exact"/>
              <w:ind w:left="211"/>
              <w:jc w:val="left"/>
              <w:rPr>
                <w:b/>
                <w:sz w:val="22"/>
              </w:rPr>
            </w:pPr>
            <w:r>
              <w:rPr>
                <w:b/>
                <w:color w:val="FFFFFF"/>
                <w:sz w:val="22"/>
              </w:rPr>
              <w:t>ABSOLUTE</w:t>
            </w:r>
          </w:p>
          <w:p>
            <w:pPr>
              <w:pStyle w:val="TableParagraph"/>
              <w:spacing w:line="252" w:lineRule="exact"/>
              <w:ind w:left="276"/>
              <w:jc w:val="left"/>
              <w:rPr>
                <w:b/>
                <w:sz w:val="22"/>
              </w:rPr>
            </w:pPr>
            <w:r>
              <w:rPr>
                <w:b/>
                <w:color w:val="FFFFFF"/>
                <w:sz w:val="22"/>
              </w:rPr>
              <w:t>Difference</w:t>
            </w:r>
          </w:p>
        </w:tc>
      </w:tr>
      <w:tr>
        <w:trPr>
          <w:trHeight w:val="700" w:hRule="atLeast"/>
        </w:trPr>
        <w:tc>
          <w:tcPr>
            <w:tcW w:w="4424" w:type="dxa"/>
            <w:tcBorders>
              <w:top w:val="single" w:sz="4" w:space="0" w:color="FFFFFF"/>
              <w:left w:val="single" w:sz="4" w:space="0" w:color="000000"/>
              <w:bottom w:val="single" w:sz="4" w:space="0" w:color="000000"/>
              <w:right w:val="single" w:sz="4" w:space="0" w:color="000000"/>
            </w:tcBorders>
          </w:tcPr>
          <w:p>
            <w:pPr>
              <w:pStyle w:val="TableParagraph"/>
              <w:ind w:left="1337" w:right="99" w:hanging="1224"/>
              <w:jc w:val="left"/>
              <w:rPr>
                <w:b/>
                <w:sz w:val="22"/>
              </w:rPr>
            </w:pPr>
            <w:r>
              <w:rPr>
                <w:b/>
                <w:sz w:val="22"/>
              </w:rPr>
              <w:t>Hillcrest Academy, Inc. (Closed October 2016 (Bankrupt))</w:t>
            </w:r>
          </w:p>
        </w:tc>
        <w:tc>
          <w:tcPr>
            <w:tcW w:w="1356" w:type="dxa"/>
            <w:tcBorders>
              <w:top w:val="single" w:sz="4" w:space="0" w:color="FFFFFF"/>
              <w:left w:val="single" w:sz="4" w:space="0" w:color="000000"/>
              <w:bottom w:val="single" w:sz="4" w:space="0" w:color="000000"/>
              <w:right w:val="single" w:sz="4" w:space="0" w:color="000000"/>
            </w:tcBorders>
          </w:tcPr>
          <w:p>
            <w:pPr>
              <w:pStyle w:val="TableParagraph"/>
              <w:spacing w:before="5"/>
              <w:jc w:val="left"/>
              <w:rPr>
                <w:b/>
                <w:sz w:val="21"/>
              </w:rPr>
            </w:pPr>
          </w:p>
          <w:p>
            <w:pPr>
              <w:pStyle w:val="TableParagraph"/>
              <w:ind w:right="206"/>
              <w:jc w:val="right"/>
              <w:rPr>
                <w:b/>
                <w:sz w:val="22"/>
              </w:rPr>
            </w:pPr>
            <w:r>
              <w:rPr>
                <w:b/>
                <w:sz w:val="22"/>
              </w:rPr>
              <w:t>$105,136</w:t>
            </w:r>
          </w:p>
        </w:tc>
        <w:tc>
          <w:tcPr>
            <w:tcW w:w="1529" w:type="dxa"/>
            <w:tcBorders>
              <w:top w:val="single" w:sz="4" w:space="0" w:color="FFFFFF"/>
              <w:left w:val="single" w:sz="4" w:space="0" w:color="000000"/>
              <w:bottom w:val="single" w:sz="4" w:space="0" w:color="000000"/>
              <w:right w:val="single" w:sz="4" w:space="0" w:color="000000"/>
            </w:tcBorders>
            <w:shd w:val="clear" w:color="auto" w:fill="FFFF00"/>
          </w:tcPr>
          <w:p>
            <w:pPr>
              <w:pStyle w:val="TableParagraph"/>
              <w:spacing w:before="5"/>
              <w:jc w:val="left"/>
              <w:rPr>
                <w:b/>
                <w:sz w:val="21"/>
              </w:rPr>
            </w:pPr>
          </w:p>
          <w:p>
            <w:pPr>
              <w:pStyle w:val="TableParagraph"/>
              <w:ind w:left="153" w:right="151"/>
              <w:rPr>
                <w:b/>
                <w:sz w:val="22"/>
              </w:rPr>
            </w:pPr>
            <w:r>
              <w:rPr>
                <w:b/>
                <w:color w:val="FF0000"/>
                <w:sz w:val="22"/>
              </w:rPr>
              <w:t>-$4,084,353</w:t>
            </w:r>
          </w:p>
        </w:tc>
        <w:tc>
          <w:tcPr>
            <w:tcW w:w="1541" w:type="dxa"/>
            <w:tcBorders>
              <w:top w:val="single" w:sz="4" w:space="0" w:color="FFFFFF"/>
              <w:left w:val="single" w:sz="4" w:space="0" w:color="000000"/>
              <w:bottom w:val="single" w:sz="4" w:space="0" w:color="000000"/>
              <w:right w:val="single" w:sz="4" w:space="0" w:color="000000"/>
            </w:tcBorders>
            <w:shd w:val="clear" w:color="auto" w:fill="FFFF00"/>
          </w:tcPr>
          <w:p>
            <w:pPr>
              <w:pStyle w:val="TableParagraph"/>
              <w:spacing w:before="5"/>
              <w:jc w:val="left"/>
              <w:rPr>
                <w:b/>
                <w:sz w:val="21"/>
              </w:rPr>
            </w:pPr>
          </w:p>
          <w:p>
            <w:pPr>
              <w:pStyle w:val="TableParagraph"/>
              <w:ind w:left="197" w:right="193"/>
              <w:rPr>
                <w:b/>
                <w:sz w:val="22"/>
              </w:rPr>
            </w:pPr>
            <w:r>
              <w:rPr>
                <w:b/>
                <w:sz w:val="22"/>
              </w:rPr>
              <w:t>$4,189,489</w:t>
            </w:r>
          </w:p>
        </w:tc>
      </w:tr>
      <w:tr>
        <w:trPr>
          <w:trHeight w:val="70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before="3"/>
              <w:jc w:val="left"/>
              <w:rPr>
                <w:b/>
                <w:sz w:val="21"/>
              </w:rPr>
            </w:pPr>
          </w:p>
          <w:p>
            <w:pPr>
              <w:pStyle w:val="TableParagraph"/>
              <w:ind w:left="80" w:right="83"/>
              <w:rPr>
                <w:b/>
                <w:sz w:val="22"/>
              </w:rPr>
            </w:pPr>
            <w:r>
              <w:rPr>
                <w:b/>
                <w:sz w:val="22"/>
              </w:rPr>
              <w:t>BASIS - system-wide information</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4" w:lineRule="exact"/>
              <w:ind w:right="4"/>
              <w:rPr>
                <w:b/>
                <w:sz w:val="22"/>
              </w:rPr>
            </w:pPr>
            <w:r>
              <w:rPr>
                <w:b/>
                <w:color w:val="FF0000"/>
                <w:w w:val="100"/>
                <w:sz w:val="22"/>
              </w:rPr>
              <w:t>-</w:t>
            </w:r>
          </w:p>
          <w:p>
            <w:pPr>
              <w:pStyle w:val="TableParagraph"/>
              <w:spacing w:line="252" w:lineRule="exact"/>
              <w:ind w:left="103" w:right="101"/>
              <w:rPr>
                <w:b/>
                <w:sz w:val="22"/>
              </w:rPr>
            </w:pPr>
            <w:r>
              <w:rPr>
                <w:b/>
                <w:color w:val="FF0000"/>
                <w:sz w:val="22"/>
              </w:rPr>
              <w:t>$1,332,911</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3"/>
              <w:jc w:val="left"/>
              <w:rPr>
                <w:b/>
                <w:sz w:val="21"/>
              </w:rPr>
            </w:pPr>
          </w:p>
          <w:p>
            <w:pPr>
              <w:pStyle w:val="TableParagraph"/>
              <w:ind w:left="153" w:right="151"/>
              <w:rPr>
                <w:b/>
                <w:sz w:val="22"/>
              </w:rPr>
            </w:pPr>
            <w:r>
              <w:rPr>
                <w:b/>
                <w:color w:val="FF0000"/>
                <w:sz w:val="22"/>
              </w:rPr>
              <w:t>-$3,074,317</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3"/>
              <w:jc w:val="left"/>
              <w:rPr>
                <w:b/>
                <w:sz w:val="21"/>
              </w:rPr>
            </w:pPr>
          </w:p>
          <w:p>
            <w:pPr>
              <w:pStyle w:val="TableParagraph"/>
              <w:ind w:left="197" w:right="193"/>
              <w:rPr>
                <w:b/>
                <w:sz w:val="22"/>
              </w:rPr>
            </w:pPr>
            <w:r>
              <w:rPr>
                <w:b/>
                <w:sz w:val="22"/>
              </w:rPr>
              <w:t>$1,741,406</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Edkey Schools</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-$658,531</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-$1,265,948</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$607,417</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Imagine Prep Coolidge, Inc.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-$808,488</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-$1,129,412</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$320,924</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Legacy Traditional School - Gilbert</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-$543,745</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-$1,117,552</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$573,807</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Bradley Academy of Excellence, Inc.</w:t>
            </w:r>
          </w:p>
        </w:tc>
        <w:tc>
          <w:tcPr>
            <w:tcW w:w="1356" w:type="dxa"/>
            <w:tcBorders>
              <w:top w:val="single" w:sz="4" w:space="0" w:color="000000"/>
              <w:left w:val="single" w:sz="4" w:space="0" w:color="000000"/>
              <w:bottom w:val="single" w:sz="4" w:space="0" w:color="000000"/>
              <w:right w:val="single" w:sz="4" w:space="0" w:color="000000"/>
            </w:tcBorders>
          </w:tcPr>
          <w:p>
            <w:pPr>
              <w:pStyle w:val="TableParagraph"/>
              <w:spacing w:before="16"/>
              <w:ind w:right="257"/>
              <w:jc w:val="right"/>
              <w:rPr>
                <w:b/>
                <w:sz w:val="20"/>
              </w:rPr>
            </w:pPr>
            <w:r>
              <w:rPr>
                <w:b/>
                <w:w w:val="95"/>
                <w:sz w:val="20"/>
              </w:rPr>
              <w:t>$211,521</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-$1,011,727</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7" w:right="193"/>
              <w:rPr>
                <w:b/>
                <w:sz w:val="22"/>
              </w:rPr>
            </w:pPr>
            <w:r>
              <w:rPr>
                <w:b/>
                <w:sz w:val="22"/>
              </w:rPr>
              <w:t>$1,223,248</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The Odyssey Preparatory Academy, Inc.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-$566,819</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-$963,135</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$396,316</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2"/>
              <w:rPr>
                <w:b/>
                <w:sz w:val="22"/>
              </w:rPr>
            </w:pPr>
            <w:r>
              <w:rPr>
                <w:b/>
                <w:sz w:val="22"/>
              </w:rPr>
              <w:t>Juniper Tree Academy</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16"/>
              <w:ind w:right="227"/>
              <w:jc w:val="right"/>
              <w:rPr>
                <w:b/>
                <w:sz w:val="20"/>
              </w:rPr>
            </w:pPr>
            <w:r>
              <w:rPr>
                <w:b/>
                <w:color w:val="FF0000"/>
                <w:w w:val="95"/>
                <w:sz w:val="20"/>
              </w:rPr>
              <w:t>-$442,090</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-$818,515</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$376,425</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2"/>
              <w:rPr>
                <w:b/>
                <w:sz w:val="22"/>
              </w:rPr>
            </w:pPr>
            <w:r>
              <w:rPr>
                <w:b/>
                <w:sz w:val="22"/>
              </w:rPr>
              <w:t>StarShine Academy</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-$378,015</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-$803,397</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$425,382</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1" w:right="83"/>
              <w:rPr>
                <w:b/>
                <w:sz w:val="22"/>
              </w:rPr>
            </w:pPr>
            <w:r>
              <w:rPr>
                <w:b/>
                <w:sz w:val="22"/>
              </w:rPr>
              <w:t>AZ Compass Schools, Inc.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-$199,808</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-$779,454</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$579,646</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2" w:right="83"/>
              <w:rPr>
                <w:b/>
                <w:sz w:val="22"/>
              </w:rPr>
            </w:pPr>
            <w:r>
              <w:rPr>
                <w:b/>
                <w:sz w:val="22"/>
              </w:rPr>
              <w:t>CAFA Inc. Consolidated Reporting</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16"/>
              <w:ind w:right="227"/>
              <w:jc w:val="right"/>
              <w:rPr>
                <w:b/>
                <w:sz w:val="20"/>
              </w:rPr>
            </w:pPr>
            <w:r>
              <w:rPr>
                <w:b/>
                <w:color w:val="FF0000"/>
                <w:w w:val="95"/>
                <w:sz w:val="20"/>
              </w:rPr>
              <w:t>-$189,494</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-$773,894</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$584,400</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Challenge School, Inc.</w:t>
            </w:r>
          </w:p>
        </w:tc>
        <w:tc>
          <w:tcPr>
            <w:tcW w:w="1356"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right="206"/>
              <w:jc w:val="right"/>
              <w:rPr>
                <w:b/>
                <w:sz w:val="22"/>
              </w:rPr>
            </w:pPr>
            <w:r>
              <w:rPr>
                <w:b/>
                <w:sz w:val="22"/>
              </w:rPr>
              <w:t>$398,604</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-$668,379</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7" w:right="193"/>
              <w:rPr>
                <w:b/>
                <w:sz w:val="22"/>
              </w:rPr>
            </w:pPr>
            <w:r>
              <w:rPr>
                <w:b/>
                <w:sz w:val="22"/>
              </w:rPr>
              <w:t>$1,066,983</w:t>
            </w:r>
          </w:p>
        </w:tc>
      </w:tr>
      <w:tr>
        <w:trPr>
          <w:trHeight w:val="70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ind w:left="1778" w:right="233" w:hanging="1529"/>
              <w:jc w:val="left"/>
              <w:rPr>
                <w:b/>
                <w:sz w:val="22"/>
              </w:rPr>
            </w:pPr>
            <w:r>
              <w:rPr>
                <w:b/>
                <w:sz w:val="22"/>
              </w:rPr>
              <w:t>Salt River Pima-Maricopa Community Schools</w:t>
            </w:r>
          </w:p>
        </w:tc>
        <w:tc>
          <w:tcPr>
            <w:tcW w:w="1356" w:type="dxa"/>
            <w:tcBorders>
              <w:top w:val="single" w:sz="4" w:space="0" w:color="000000"/>
              <w:left w:val="single" w:sz="4" w:space="0" w:color="000000"/>
              <w:bottom w:val="single" w:sz="4" w:space="0" w:color="000000"/>
              <w:right w:val="single" w:sz="4" w:space="0" w:color="000000"/>
            </w:tcBorders>
          </w:tcPr>
          <w:p>
            <w:pPr>
              <w:pStyle w:val="TableParagraph"/>
              <w:jc w:val="left"/>
              <w:rPr>
                <w:b/>
                <w:sz w:val="21"/>
              </w:rPr>
            </w:pPr>
          </w:p>
          <w:p>
            <w:pPr>
              <w:pStyle w:val="TableParagraph"/>
              <w:ind w:right="206"/>
              <w:jc w:val="right"/>
              <w:rPr>
                <w:b/>
                <w:sz w:val="22"/>
              </w:rPr>
            </w:pPr>
            <w:r>
              <w:rPr>
                <w:b/>
                <w:sz w:val="22"/>
              </w:rPr>
              <w:t>$485,754</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jc w:val="left"/>
              <w:rPr>
                <w:b/>
                <w:sz w:val="21"/>
              </w:rPr>
            </w:pPr>
          </w:p>
          <w:p>
            <w:pPr>
              <w:pStyle w:val="TableParagraph"/>
              <w:ind w:left="153" w:right="151"/>
              <w:rPr>
                <w:b/>
                <w:sz w:val="22"/>
              </w:rPr>
            </w:pPr>
            <w:r>
              <w:rPr>
                <w:b/>
                <w:color w:val="FF0000"/>
                <w:sz w:val="22"/>
              </w:rPr>
              <w:t>-$586,107</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jc w:val="left"/>
              <w:rPr>
                <w:b/>
                <w:sz w:val="21"/>
              </w:rPr>
            </w:pPr>
          </w:p>
          <w:p>
            <w:pPr>
              <w:pStyle w:val="TableParagraph"/>
              <w:ind w:left="197" w:right="193"/>
              <w:rPr>
                <w:b/>
                <w:sz w:val="22"/>
              </w:rPr>
            </w:pPr>
            <w:r>
              <w:rPr>
                <w:b/>
                <w:sz w:val="22"/>
              </w:rPr>
              <w:t>$1,071,861</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Telesis Center for Learning, Inc.</w:t>
            </w:r>
          </w:p>
        </w:tc>
        <w:tc>
          <w:tcPr>
            <w:tcW w:w="1356"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273"/>
              <w:jc w:val="left"/>
              <w:rPr>
                <w:b/>
                <w:sz w:val="22"/>
              </w:rPr>
            </w:pPr>
            <w:r>
              <w:rPr>
                <w:b/>
                <w:sz w:val="22"/>
              </w:rPr>
              <w:t>$17,455</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-$550,248</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$567,703</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3"/>
              <w:rPr>
                <w:b/>
                <w:sz w:val="22"/>
              </w:rPr>
            </w:pPr>
            <w:r>
              <w:rPr>
                <w:b/>
                <w:sz w:val="22"/>
              </w:rPr>
              <w:t>Legacy Traditional School - Laveen</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-$143,492</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-$516,257</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$372,765</w:t>
            </w:r>
          </w:p>
        </w:tc>
      </w:tr>
      <w:tr>
        <w:trPr>
          <w:trHeight w:val="68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ind w:left="1838" w:right="146" w:hanging="1673"/>
              <w:jc w:val="left"/>
              <w:rPr>
                <w:b/>
                <w:sz w:val="22"/>
              </w:rPr>
            </w:pPr>
            <w:r>
              <w:rPr>
                <w:b/>
                <w:sz w:val="22"/>
              </w:rPr>
              <w:t>Arizona Connections Academy Charter School</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9"/>
              <w:jc w:val="left"/>
              <w:rPr>
                <w:b/>
                <w:sz w:val="20"/>
              </w:rPr>
            </w:pPr>
          </w:p>
          <w:p>
            <w:pPr>
              <w:pStyle w:val="TableParagraph"/>
              <w:spacing w:before="1"/>
              <w:ind w:right="170"/>
              <w:jc w:val="right"/>
              <w:rPr>
                <w:b/>
                <w:sz w:val="22"/>
              </w:rPr>
            </w:pPr>
            <w:r>
              <w:rPr>
                <w:b/>
                <w:color w:val="FF0000"/>
                <w:sz w:val="22"/>
              </w:rPr>
              <w:t>-$495,694</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9"/>
              <w:jc w:val="left"/>
              <w:rPr>
                <w:b/>
                <w:sz w:val="20"/>
              </w:rPr>
            </w:pPr>
          </w:p>
          <w:p>
            <w:pPr>
              <w:pStyle w:val="TableParagraph"/>
              <w:spacing w:before="1"/>
              <w:ind w:left="153" w:right="151"/>
              <w:rPr>
                <w:b/>
                <w:sz w:val="22"/>
              </w:rPr>
            </w:pPr>
            <w:r>
              <w:rPr>
                <w:b/>
                <w:color w:val="FF0000"/>
                <w:sz w:val="22"/>
              </w:rPr>
              <w:t>-$495,693</w:t>
            </w:r>
          </w:p>
        </w:tc>
        <w:tc>
          <w:tcPr>
            <w:tcW w:w="1541" w:type="dxa"/>
            <w:tcBorders>
              <w:top w:val="single" w:sz="4" w:space="0" w:color="000000"/>
              <w:left w:val="single" w:sz="4" w:space="0" w:color="000000"/>
              <w:bottom w:val="single" w:sz="4" w:space="0" w:color="000000"/>
              <w:right w:val="single" w:sz="4" w:space="0" w:color="000000"/>
            </w:tcBorders>
            <w:shd w:val="clear" w:color="auto" w:fill="92D050"/>
          </w:tcPr>
          <w:p>
            <w:pPr>
              <w:pStyle w:val="TableParagraph"/>
              <w:spacing w:before="9"/>
              <w:jc w:val="left"/>
              <w:rPr>
                <w:b/>
                <w:sz w:val="20"/>
              </w:rPr>
            </w:pPr>
          </w:p>
          <w:p>
            <w:pPr>
              <w:pStyle w:val="TableParagraph"/>
              <w:spacing w:before="1"/>
              <w:ind w:left="193" w:right="193"/>
              <w:rPr>
                <w:b/>
                <w:sz w:val="22"/>
              </w:rPr>
            </w:pPr>
            <w:r>
              <w:rPr>
                <w:b/>
                <w:sz w:val="22"/>
              </w:rPr>
              <w:t>$1</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8" w:lineRule="exact"/>
              <w:ind w:left="83" w:right="83"/>
              <w:rPr>
                <w:b/>
                <w:sz w:val="22"/>
              </w:rPr>
            </w:pPr>
            <w:r>
              <w:rPr>
                <w:b/>
                <w:sz w:val="22"/>
              </w:rPr>
              <w:t>EAGLE College Prep Maryvale, LLC.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8" w:lineRule="exact"/>
              <w:ind w:right="230"/>
              <w:jc w:val="right"/>
              <w:rPr>
                <w:b/>
                <w:sz w:val="22"/>
              </w:rPr>
            </w:pPr>
            <w:r>
              <w:rPr>
                <w:b/>
                <w:color w:val="FF0000"/>
                <w:sz w:val="22"/>
              </w:rPr>
              <w:t>-$30,351</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8" w:lineRule="exact"/>
              <w:ind w:left="153" w:right="151"/>
              <w:rPr>
                <w:b/>
                <w:sz w:val="22"/>
              </w:rPr>
            </w:pPr>
            <w:r>
              <w:rPr>
                <w:b/>
                <w:color w:val="FF0000"/>
                <w:sz w:val="22"/>
              </w:rPr>
              <w:t>-$457,501</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8" w:lineRule="exact"/>
              <w:ind w:left="195" w:right="193"/>
              <w:rPr>
                <w:b/>
                <w:sz w:val="22"/>
              </w:rPr>
            </w:pPr>
            <w:r>
              <w:rPr>
                <w:b/>
                <w:sz w:val="22"/>
              </w:rPr>
              <w:t>$427,150</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3" w:right="81"/>
              <w:rPr>
                <w:b/>
                <w:sz w:val="22"/>
              </w:rPr>
            </w:pPr>
            <w:r>
              <w:rPr>
                <w:b/>
                <w:sz w:val="22"/>
              </w:rPr>
              <w:t>EAGLE College Prep Mesa, LLC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right="170"/>
              <w:jc w:val="right"/>
              <w:rPr>
                <w:b/>
                <w:sz w:val="22"/>
              </w:rPr>
            </w:pPr>
            <w:r>
              <w:rPr>
                <w:b/>
                <w:color w:val="FF0000"/>
                <w:sz w:val="22"/>
              </w:rPr>
              <w:t>-$197,868</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-$457,501</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$259,633</w:t>
            </w:r>
          </w:p>
        </w:tc>
      </w:tr>
      <w:tr>
        <w:trPr>
          <w:trHeight w:val="44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83" w:right="83"/>
              <w:rPr>
                <w:b/>
                <w:sz w:val="22"/>
              </w:rPr>
            </w:pPr>
            <w:r>
              <w:rPr>
                <w:b/>
                <w:sz w:val="22"/>
              </w:rPr>
              <w:t>EAGLE South Mountain Charter, Inc.</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7" w:lineRule="exact"/>
              <w:ind w:right="230"/>
              <w:jc w:val="right"/>
              <w:rPr>
                <w:b/>
                <w:sz w:val="22"/>
              </w:rPr>
            </w:pPr>
            <w:r>
              <w:rPr>
                <w:b/>
                <w:color w:val="FF0000"/>
                <w:sz w:val="22"/>
              </w:rPr>
              <w:t>-$55,220</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7" w:lineRule="exact"/>
              <w:ind w:left="153" w:right="151"/>
              <w:rPr>
                <w:b/>
                <w:sz w:val="22"/>
              </w:rPr>
            </w:pPr>
            <w:r>
              <w:rPr>
                <w:b/>
                <w:color w:val="FF0000"/>
                <w:sz w:val="22"/>
              </w:rPr>
              <w:t>-$457,501</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7" w:lineRule="exact"/>
              <w:ind w:left="195" w:right="193"/>
              <w:rPr>
                <w:b/>
                <w:sz w:val="22"/>
              </w:rPr>
            </w:pPr>
            <w:r>
              <w:rPr>
                <w:b/>
                <w:sz w:val="22"/>
              </w:rPr>
              <w:t>$402,281</w:t>
            </w:r>
          </w:p>
        </w:tc>
      </w:tr>
      <w:tr>
        <w:trPr>
          <w:trHeight w:val="70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ind w:left="1577" w:right="461" w:hanging="1104"/>
              <w:jc w:val="left"/>
              <w:rPr>
                <w:b/>
                <w:sz w:val="22"/>
              </w:rPr>
            </w:pPr>
            <w:r>
              <w:rPr>
                <w:b/>
                <w:sz w:val="22"/>
              </w:rPr>
              <w:t>Innovative Humanities Education Corporation</w:t>
            </w:r>
          </w:p>
        </w:tc>
        <w:tc>
          <w:tcPr>
            <w:tcW w:w="1356"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1"/>
              <w:jc w:val="left"/>
              <w:rPr>
                <w:b/>
                <w:sz w:val="21"/>
              </w:rPr>
            </w:pPr>
          </w:p>
          <w:p>
            <w:pPr>
              <w:pStyle w:val="TableParagraph"/>
              <w:ind w:right="170"/>
              <w:jc w:val="right"/>
              <w:rPr>
                <w:b/>
                <w:sz w:val="22"/>
              </w:rPr>
            </w:pPr>
            <w:r>
              <w:rPr>
                <w:b/>
                <w:color w:val="FF0000"/>
                <w:sz w:val="22"/>
              </w:rPr>
              <w:t>-$527,122</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1"/>
              <w:jc w:val="left"/>
              <w:rPr>
                <w:b/>
                <w:sz w:val="21"/>
              </w:rPr>
            </w:pPr>
          </w:p>
          <w:p>
            <w:pPr>
              <w:pStyle w:val="TableParagraph"/>
              <w:ind w:left="153" w:right="151"/>
              <w:rPr>
                <w:b/>
                <w:sz w:val="22"/>
              </w:rPr>
            </w:pPr>
            <w:r>
              <w:rPr>
                <w:b/>
                <w:color w:val="FF0000"/>
                <w:sz w:val="22"/>
              </w:rPr>
              <w:t>-$448,504</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before="1"/>
              <w:jc w:val="left"/>
              <w:rPr>
                <w:b/>
                <w:sz w:val="21"/>
              </w:rPr>
            </w:pPr>
          </w:p>
          <w:p>
            <w:pPr>
              <w:pStyle w:val="TableParagraph"/>
              <w:ind w:left="197" w:right="193"/>
              <w:rPr>
                <w:b/>
                <w:sz w:val="22"/>
              </w:rPr>
            </w:pPr>
            <w:r>
              <w:rPr>
                <w:b/>
                <w:sz w:val="22"/>
              </w:rPr>
              <w:t>$78,618</w:t>
            </w:r>
          </w:p>
        </w:tc>
      </w:tr>
      <w:tr>
        <w:trPr>
          <w:trHeight w:val="420" w:hRule="atLeast"/>
        </w:trPr>
        <w:tc>
          <w:tcPr>
            <w:tcW w:w="4424"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81" w:right="83"/>
              <w:rPr>
                <w:b/>
                <w:sz w:val="22"/>
              </w:rPr>
            </w:pPr>
            <w:r>
              <w:rPr>
                <w:b/>
                <w:sz w:val="22"/>
              </w:rPr>
              <w:t>South Phoenix Academy, Inc.</w:t>
            </w:r>
          </w:p>
        </w:tc>
        <w:tc>
          <w:tcPr>
            <w:tcW w:w="1356"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273"/>
              <w:jc w:val="left"/>
              <w:rPr>
                <w:b/>
                <w:sz w:val="22"/>
              </w:rPr>
            </w:pPr>
            <w:r>
              <w:rPr>
                <w:b/>
                <w:sz w:val="22"/>
              </w:rPr>
              <w:t>$31,502</w:t>
            </w:r>
          </w:p>
        </w:tc>
        <w:tc>
          <w:tcPr>
            <w:tcW w:w="1529"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53" w:right="151"/>
              <w:rPr>
                <w:b/>
                <w:sz w:val="22"/>
              </w:rPr>
            </w:pPr>
            <w:r>
              <w:rPr>
                <w:b/>
                <w:color w:val="FF0000"/>
                <w:sz w:val="22"/>
              </w:rPr>
              <w:t>-$422,070</w:t>
            </w:r>
          </w:p>
        </w:tc>
        <w:tc>
          <w:tcPr>
            <w:tcW w:w="1541" w:type="dxa"/>
            <w:tcBorders>
              <w:top w:val="single" w:sz="4" w:space="0" w:color="000000"/>
              <w:left w:val="single" w:sz="4" w:space="0" w:color="000000"/>
              <w:bottom w:val="single" w:sz="4" w:space="0" w:color="000000"/>
              <w:right w:val="single" w:sz="4" w:space="0" w:color="000000"/>
            </w:tcBorders>
            <w:shd w:val="clear" w:color="auto" w:fill="FFFF00"/>
          </w:tcPr>
          <w:p>
            <w:pPr>
              <w:pStyle w:val="TableParagraph"/>
              <w:spacing w:line="246" w:lineRule="exact"/>
              <w:ind w:left="195" w:right="193"/>
              <w:rPr>
                <w:b/>
                <w:sz w:val="22"/>
              </w:rPr>
            </w:pPr>
            <w:r>
              <w:rPr>
                <w:b/>
                <w:sz w:val="22"/>
              </w:rPr>
              <w:t>$453,572</w:t>
            </w:r>
          </w:p>
        </w:tc>
      </w:tr>
    </w:tbl>
    <w:p>
      <w:pPr>
        <w:spacing w:after="0" w:line="246" w:lineRule="exact"/>
        <w:rPr>
          <w:sz w:val="22"/>
        </w:rPr>
        <w:sectPr>
          <w:pgSz w:w="12240" w:h="15840"/>
          <w:pgMar w:header="740" w:footer="1002" w:top="940" w:bottom="1200" w:left="1220" w:right="1720"/>
        </w:sectPr>
      </w:pPr>
    </w:p>
    <w:p>
      <w:pPr>
        <w:pStyle w:val="BodyText"/>
        <w:rPr>
          <w:rFonts w:ascii="Times New Roman"/>
          <w:sz w:val="20"/>
        </w:rPr>
      </w:pPr>
    </w:p>
    <w:p>
      <w:pPr>
        <w:pStyle w:val="BodyText"/>
        <w:spacing w:before="2"/>
        <w:rPr>
          <w:rFonts w:ascii="Times New Roman"/>
          <w:sz w:val="22"/>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24"/>
        <w:gridCol w:w="1356"/>
        <w:gridCol w:w="1529"/>
        <w:gridCol w:w="1541"/>
      </w:tblGrid>
      <w:tr>
        <w:trPr>
          <w:trHeight w:val="420" w:hRule="atLeast"/>
        </w:trPr>
        <w:tc>
          <w:tcPr>
            <w:tcW w:w="4424" w:type="dxa"/>
          </w:tcPr>
          <w:p>
            <w:pPr>
              <w:pStyle w:val="TableParagraph"/>
              <w:spacing w:line="246" w:lineRule="exact"/>
              <w:ind w:left="83" w:right="83"/>
              <w:rPr>
                <w:b/>
                <w:sz w:val="22"/>
              </w:rPr>
            </w:pPr>
            <w:r>
              <w:rPr>
                <w:b/>
                <w:sz w:val="22"/>
              </w:rPr>
              <w:t>Tucson Youth Development, Inc.</w:t>
            </w:r>
          </w:p>
        </w:tc>
        <w:tc>
          <w:tcPr>
            <w:tcW w:w="1356" w:type="dxa"/>
            <w:shd w:val="clear" w:color="auto" w:fill="FFFF00"/>
          </w:tcPr>
          <w:p>
            <w:pPr>
              <w:pStyle w:val="TableParagraph"/>
              <w:spacing w:line="246" w:lineRule="exact"/>
              <w:ind w:left="103" w:right="101"/>
              <w:rPr>
                <w:b/>
                <w:sz w:val="22"/>
              </w:rPr>
            </w:pPr>
            <w:r>
              <w:rPr>
                <w:b/>
                <w:color w:val="FF0000"/>
                <w:sz w:val="22"/>
              </w:rPr>
              <w:t>-$361,116</w:t>
            </w:r>
          </w:p>
        </w:tc>
        <w:tc>
          <w:tcPr>
            <w:tcW w:w="1529" w:type="dxa"/>
            <w:shd w:val="clear" w:color="auto" w:fill="FFFF00"/>
          </w:tcPr>
          <w:p>
            <w:pPr>
              <w:pStyle w:val="TableParagraph"/>
              <w:spacing w:line="246" w:lineRule="exact"/>
              <w:ind w:left="153" w:right="151"/>
              <w:rPr>
                <w:b/>
                <w:sz w:val="22"/>
              </w:rPr>
            </w:pPr>
            <w:r>
              <w:rPr>
                <w:b/>
                <w:color w:val="FF0000"/>
                <w:sz w:val="22"/>
              </w:rPr>
              <w:t>-$409,605</w:t>
            </w:r>
          </w:p>
        </w:tc>
        <w:tc>
          <w:tcPr>
            <w:tcW w:w="1541" w:type="dxa"/>
          </w:tcPr>
          <w:p>
            <w:pPr>
              <w:pStyle w:val="TableParagraph"/>
              <w:spacing w:line="246" w:lineRule="exact"/>
              <w:ind w:left="197" w:right="193"/>
              <w:rPr>
                <w:b/>
                <w:sz w:val="22"/>
              </w:rPr>
            </w:pPr>
            <w:r>
              <w:rPr>
                <w:b/>
                <w:sz w:val="22"/>
              </w:rPr>
              <w:t>$48,489</w:t>
            </w:r>
          </w:p>
        </w:tc>
      </w:tr>
      <w:tr>
        <w:trPr>
          <w:trHeight w:val="440" w:hRule="atLeast"/>
        </w:trPr>
        <w:tc>
          <w:tcPr>
            <w:tcW w:w="4424" w:type="dxa"/>
          </w:tcPr>
          <w:p>
            <w:pPr>
              <w:pStyle w:val="TableParagraph"/>
              <w:spacing w:line="246" w:lineRule="exact"/>
              <w:ind w:left="83" w:right="83"/>
              <w:rPr>
                <w:b/>
                <w:sz w:val="22"/>
              </w:rPr>
            </w:pPr>
            <w:r>
              <w:rPr>
                <w:b/>
                <w:sz w:val="22"/>
              </w:rPr>
              <w:t>Ahwatukee Foothills Prep, Inc.</w:t>
            </w:r>
          </w:p>
        </w:tc>
        <w:tc>
          <w:tcPr>
            <w:tcW w:w="1356" w:type="dxa"/>
            <w:shd w:val="clear" w:color="auto" w:fill="FFFF00"/>
          </w:tcPr>
          <w:p>
            <w:pPr>
              <w:pStyle w:val="TableParagraph"/>
              <w:spacing w:line="246" w:lineRule="exact"/>
              <w:ind w:left="103" w:right="101"/>
              <w:rPr>
                <w:b/>
                <w:sz w:val="22"/>
              </w:rPr>
            </w:pPr>
            <w:r>
              <w:rPr>
                <w:b/>
                <w:color w:val="FF0000"/>
                <w:sz w:val="22"/>
              </w:rPr>
              <w:t>-$707,167</w:t>
            </w:r>
          </w:p>
        </w:tc>
        <w:tc>
          <w:tcPr>
            <w:tcW w:w="1529" w:type="dxa"/>
            <w:shd w:val="clear" w:color="auto" w:fill="FFFF00"/>
          </w:tcPr>
          <w:p>
            <w:pPr>
              <w:pStyle w:val="TableParagraph"/>
              <w:spacing w:line="246" w:lineRule="exact"/>
              <w:ind w:left="153" w:right="151"/>
              <w:rPr>
                <w:b/>
                <w:sz w:val="22"/>
              </w:rPr>
            </w:pPr>
            <w:r>
              <w:rPr>
                <w:b/>
                <w:color w:val="FF0000"/>
                <w:sz w:val="22"/>
              </w:rPr>
              <w:t>-$387,734</w:t>
            </w:r>
          </w:p>
        </w:tc>
        <w:tc>
          <w:tcPr>
            <w:tcW w:w="1541" w:type="dxa"/>
            <w:shd w:val="clear" w:color="auto" w:fill="FFFF00"/>
          </w:tcPr>
          <w:p>
            <w:pPr>
              <w:pStyle w:val="TableParagraph"/>
              <w:spacing w:line="246" w:lineRule="exact"/>
              <w:ind w:left="195" w:right="193"/>
              <w:rPr>
                <w:b/>
                <w:sz w:val="22"/>
              </w:rPr>
            </w:pPr>
            <w:r>
              <w:rPr>
                <w:b/>
                <w:sz w:val="22"/>
              </w:rPr>
              <w:t>$319,433</w:t>
            </w:r>
          </w:p>
        </w:tc>
      </w:tr>
      <w:tr>
        <w:trPr>
          <w:trHeight w:val="420" w:hRule="atLeast"/>
        </w:trPr>
        <w:tc>
          <w:tcPr>
            <w:tcW w:w="4424" w:type="dxa"/>
          </w:tcPr>
          <w:p>
            <w:pPr>
              <w:pStyle w:val="TableParagraph"/>
              <w:spacing w:line="246" w:lineRule="exact"/>
              <w:ind w:left="83" w:right="83"/>
              <w:rPr>
                <w:b/>
                <w:sz w:val="22"/>
              </w:rPr>
            </w:pPr>
            <w:r>
              <w:rPr>
                <w:b/>
                <w:sz w:val="22"/>
              </w:rPr>
              <w:t>San Tan Montessori School, Inc.</w:t>
            </w:r>
          </w:p>
        </w:tc>
        <w:tc>
          <w:tcPr>
            <w:tcW w:w="1356" w:type="dxa"/>
          </w:tcPr>
          <w:p>
            <w:pPr>
              <w:pStyle w:val="TableParagraph"/>
              <w:spacing w:line="246" w:lineRule="exact"/>
              <w:ind w:left="101" w:right="101"/>
              <w:rPr>
                <w:b/>
                <w:sz w:val="22"/>
              </w:rPr>
            </w:pPr>
            <w:r>
              <w:rPr>
                <w:b/>
                <w:sz w:val="22"/>
              </w:rPr>
              <w:t>$115,585</w:t>
            </w:r>
          </w:p>
        </w:tc>
        <w:tc>
          <w:tcPr>
            <w:tcW w:w="1529" w:type="dxa"/>
            <w:shd w:val="clear" w:color="auto" w:fill="FFFF00"/>
          </w:tcPr>
          <w:p>
            <w:pPr>
              <w:pStyle w:val="TableParagraph"/>
              <w:spacing w:line="246" w:lineRule="exact"/>
              <w:ind w:left="153" w:right="151"/>
              <w:rPr>
                <w:b/>
                <w:sz w:val="22"/>
              </w:rPr>
            </w:pPr>
            <w:r>
              <w:rPr>
                <w:b/>
                <w:color w:val="FF0000"/>
                <w:sz w:val="22"/>
              </w:rPr>
              <w:t>-$362,223</w:t>
            </w:r>
          </w:p>
        </w:tc>
        <w:tc>
          <w:tcPr>
            <w:tcW w:w="1541" w:type="dxa"/>
            <w:shd w:val="clear" w:color="auto" w:fill="FFFF00"/>
          </w:tcPr>
          <w:p>
            <w:pPr>
              <w:pStyle w:val="TableParagraph"/>
              <w:spacing w:line="246" w:lineRule="exact"/>
              <w:ind w:left="195" w:right="193"/>
              <w:rPr>
                <w:b/>
                <w:sz w:val="22"/>
              </w:rPr>
            </w:pPr>
            <w:r>
              <w:rPr>
                <w:b/>
                <w:sz w:val="22"/>
              </w:rPr>
              <w:t>$477,808</w:t>
            </w:r>
          </w:p>
        </w:tc>
      </w:tr>
      <w:tr>
        <w:trPr>
          <w:trHeight w:val="440" w:hRule="atLeast"/>
        </w:trPr>
        <w:tc>
          <w:tcPr>
            <w:tcW w:w="4424" w:type="dxa"/>
          </w:tcPr>
          <w:p>
            <w:pPr>
              <w:pStyle w:val="TableParagraph"/>
              <w:spacing w:line="246" w:lineRule="exact"/>
              <w:ind w:left="82" w:right="83"/>
              <w:rPr>
                <w:b/>
                <w:sz w:val="22"/>
              </w:rPr>
            </w:pPr>
            <w:r>
              <w:rPr>
                <w:b/>
                <w:sz w:val="22"/>
              </w:rPr>
              <w:t>American Basic Schools LLC</w:t>
            </w:r>
          </w:p>
        </w:tc>
        <w:tc>
          <w:tcPr>
            <w:tcW w:w="1356" w:type="dxa"/>
          </w:tcPr>
          <w:p>
            <w:pPr>
              <w:pStyle w:val="TableParagraph"/>
              <w:spacing w:line="246" w:lineRule="exact"/>
              <w:ind w:left="101" w:right="101"/>
              <w:rPr>
                <w:b/>
                <w:sz w:val="22"/>
              </w:rPr>
            </w:pPr>
            <w:r>
              <w:rPr>
                <w:b/>
                <w:sz w:val="22"/>
              </w:rPr>
              <w:t>$160,687</w:t>
            </w:r>
          </w:p>
        </w:tc>
        <w:tc>
          <w:tcPr>
            <w:tcW w:w="1529" w:type="dxa"/>
            <w:shd w:val="clear" w:color="auto" w:fill="FFFF00"/>
          </w:tcPr>
          <w:p>
            <w:pPr>
              <w:pStyle w:val="TableParagraph"/>
              <w:spacing w:line="246" w:lineRule="exact"/>
              <w:ind w:left="153" w:right="151"/>
              <w:rPr>
                <w:b/>
                <w:sz w:val="22"/>
              </w:rPr>
            </w:pPr>
            <w:r>
              <w:rPr>
                <w:b/>
                <w:color w:val="FF0000"/>
                <w:sz w:val="22"/>
              </w:rPr>
              <w:t>-$355,422</w:t>
            </w:r>
          </w:p>
        </w:tc>
        <w:tc>
          <w:tcPr>
            <w:tcW w:w="1541" w:type="dxa"/>
            <w:shd w:val="clear" w:color="auto" w:fill="FFFF00"/>
          </w:tcPr>
          <w:p>
            <w:pPr>
              <w:pStyle w:val="TableParagraph"/>
              <w:spacing w:line="246" w:lineRule="exact"/>
              <w:ind w:left="195" w:right="193"/>
              <w:rPr>
                <w:b/>
                <w:sz w:val="22"/>
              </w:rPr>
            </w:pPr>
            <w:r>
              <w:rPr>
                <w:b/>
                <w:sz w:val="22"/>
              </w:rPr>
              <w:t>$516,109</w:t>
            </w:r>
          </w:p>
        </w:tc>
      </w:tr>
      <w:tr>
        <w:trPr>
          <w:trHeight w:val="420" w:hRule="atLeast"/>
        </w:trPr>
        <w:tc>
          <w:tcPr>
            <w:tcW w:w="4424" w:type="dxa"/>
          </w:tcPr>
          <w:p>
            <w:pPr>
              <w:pStyle w:val="TableParagraph"/>
              <w:spacing w:line="246" w:lineRule="exact"/>
              <w:ind w:left="82" w:right="83"/>
              <w:rPr>
                <w:b/>
                <w:sz w:val="22"/>
              </w:rPr>
            </w:pPr>
            <w:r>
              <w:rPr>
                <w:b/>
                <w:sz w:val="22"/>
              </w:rPr>
              <w:t>The Paideia Academies, Inc.</w:t>
            </w:r>
          </w:p>
        </w:tc>
        <w:tc>
          <w:tcPr>
            <w:tcW w:w="1356" w:type="dxa"/>
          </w:tcPr>
          <w:p>
            <w:pPr>
              <w:pStyle w:val="TableParagraph"/>
              <w:spacing w:line="246" w:lineRule="exact"/>
              <w:ind w:left="101" w:right="101"/>
              <w:rPr>
                <w:b/>
                <w:sz w:val="22"/>
              </w:rPr>
            </w:pPr>
            <w:r>
              <w:rPr>
                <w:b/>
                <w:sz w:val="22"/>
              </w:rPr>
              <w:t>$832,410</w:t>
            </w:r>
          </w:p>
        </w:tc>
        <w:tc>
          <w:tcPr>
            <w:tcW w:w="1529" w:type="dxa"/>
            <w:shd w:val="clear" w:color="auto" w:fill="FFFF00"/>
          </w:tcPr>
          <w:p>
            <w:pPr>
              <w:pStyle w:val="TableParagraph"/>
              <w:spacing w:line="246" w:lineRule="exact"/>
              <w:ind w:left="153" w:right="151"/>
              <w:rPr>
                <w:b/>
                <w:sz w:val="22"/>
              </w:rPr>
            </w:pPr>
            <w:r>
              <w:rPr>
                <w:b/>
                <w:color w:val="FF0000"/>
                <w:sz w:val="22"/>
              </w:rPr>
              <w:t>-$352,568</w:t>
            </w:r>
          </w:p>
        </w:tc>
        <w:tc>
          <w:tcPr>
            <w:tcW w:w="1541" w:type="dxa"/>
            <w:shd w:val="clear" w:color="auto" w:fill="FFFF00"/>
          </w:tcPr>
          <w:p>
            <w:pPr>
              <w:pStyle w:val="TableParagraph"/>
              <w:spacing w:line="246" w:lineRule="exact"/>
              <w:ind w:left="197" w:right="193"/>
              <w:rPr>
                <w:b/>
                <w:sz w:val="22"/>
              </w:rPr>
            </w:pPr>
            <w:r>
              <w:rPr>
                <w:b/>
                <w:sz w:val="22"/>
              </w:rPr>
              <w:t>$1,184,978</w:t>
            </w:r>
          </w:p>
        </w:tc>
      </w:tr>
      <w:tr>
        <w:trPr>
          <w:trHeight w:val="440" w:hRule="atLeast"/>
        </w:trPr>
        <w:tc>
          <w:tcPr>
            <w:tcW w:w="4424" w:type="dxa"/>
          </w:tcPr>
          <w:p>
            <w:pPr>
              <w:pStyle w:val="TableParagraph"/>
              <w:spacing w:line="246" w:lineRule="exact"/>
              <w:ind w:left="83" w:right="81"/>
              <w:rPr>
                <w:b/>
                <w:sz w:val="22"/>
              </w:rPr>
            </w:pPr>
            <w:r>
              <w:rPr>
                <w:b/>
                <w:sz w:val="22"/>
              </w:rPr>
              <w:t>Noah Webster Schools - Pima</w:t>
            </w:r>
          </w:p>
        </w:tc>
        <w:tc>
          <w:tcPr>
            <w:tcW w:w="1356" w:type="dxa"/>
            <w:shd w:val="clear" w:color="auto" w:fill="FFFF00"/>
          </w:tcPr>
          <w:p>
            <w:pPr>
              <w:pStyle w:val="TableParagraph"/>
              <w:spacing w:line="246" w:lineRule="exact"/>
              <w:ind w:left="103" w:right="101"/>
              <w:rPr>
                <w:b/>
                <w:sz w:val="22"/>
              </w:rPr>
            </w:pPr>
            <w:r>
              <w:rPr>
                <w:b/>
                <w:color w:val="FF0000"/>
                <w:sz w:val="22"/>
              </w:rPr>
              <w:t>-$107,442</w:t>
            </w:r>
          </w:p>
        </w:tc>
        <w:tc>
          <w:tcPr>
            <w:tcW w:w="1529" w:type="dxa"/>
            <w:shd w:val="clear" w:color="auto" w:fill="FFFF00"/>
          </w:tcPr>
          <w:p>
            <w:pPr>
              <w:pStyle w:val="TableParagraph"/>
              <w:spacing w:line="246" w:lineRule="exact"/>
              <w:ind w:left="153" w:right="151"/>
              <w:rPr>
                <w:b/>
                <w:sz w:val="22"/>
              </w:rPr>
            </w:pPr>
            <w:r>
              <w:rPr>
                <w:b/>
                <w:color w:val="FF0000"/>
                <w:sz w:val="22"/>
              </w:rPr>
              <w:t>-$349,939</w:t>
            </w:r>
          </w:p>
        </w:tc>
        <w:tc>
          <w:tcPr>
            <w:tcW w:w="1541" w:type="dxa"/>
            <w:shd w:val="clear" w:color="auto" w:fill="FFFF00"/>
          </w:tcPr>
          <w:p>
            <w:pPr>
              <w:pStyle w:val="TableParagraph"/>
              <w:spacing w:line="246" w:lineRule="exact"/>
              <w:ind w:left="195" w:right="193"/>
              <w:rPr>
                <w:b/>
                <w:sz w:val="22"/>
              </w:rPr>
            </w:pPr>
            <w:r>
              <w:rPr>
                <w:b/>
                <w:sz w:val="22"/>
              </w:rPr>
              <w:t>$242,497</w:t>
            </w:r>
          </w:p>
        </w:tc>
      </w:tr>
      <w:tr>
        <w:trPr>
          <w:trHeight w:val="420" w:hRule="atLeast"/>
        </w:trPr>
        <w:tc>
          <w:tcPr>
            <w:tcW w:w="4424" w:type="dxa"/>
          </w:tcPr>
          <w:p>
            <w:pPr>
              <w:pStyle w:val="TableParagraph"/>
              <w:spacing w:line="249" w:lineRule="exact"/>
              <w:ind w:left="83" w:right="80"/>
              <w:rPr>
                <w:b/>
                <w:sz w:val="22"/>
              </w:rPr>
            </w:pPr>
            <w:r>
              <w:rPr>
                <w:b/>
                <w:sz w:val="22"/>
              </w:rPr>
              <w:t>Noah Webster Schools- Mesa</w:t>
            </w:r>
          </w:p>
        </w:tc>
        <w:tc>
          <w:tcPr>
            <w:tcW w:w="1356" w:type="dxa"/>
          </w:tcPr>
          <w:p>
            <w:pPr>
              <w:pStyle w:val="TableParagraph"/>
              <w:spacing w:line="249" w:lineRule="exact"/>
              <w:ind w:left="101" w:right="101"/>
              <w:rPr>
                <w:b/>
                <w:sz w:val="22"/>
              </w:rPr>
            </w:pPr>
            <w:r>
              <w:rPr>
                <w:b/>
                <w:sz w:val="22"/>
              </w:rPr>
              <w:t>$391,393</w:t>
            </w:r>
          </w:p>
        </w:tc>
        <w:tc>
          <w:tcPr>
            <w:tcW w:w="1529" w:type="dxa"/>
            <w:shd w:val="clear" w:color="auto" w:fill="FFFF00"/>
          </w:tcPr>
          <w:p>
            <w:pPr>
              <w:pStyle w:val="TableParagraph"/>
              <w:spacing w:line="249" w:lineRule="exact"/>
              <w:ind w:left="153" w:right="151"/>
              <w:rPr>
                <w:b/>
                <w:sz w:val="22"/>
              </w:rPr>
            </w:pPr>
            <w:r>
              <w:rPr>
                <w:b/>
                <w:color w:val="FF0000"/>
                <w:sz w:val="22"/>
              </w:rPr>
              <w:t>-$349,939</w:t>
            </w:r>
          </w:p>
        </w:tc>
        <w:tc>
          <w:tcPr>
            <w:tcW w:w="1541" w:type="dxa"/>
            <w:shd w:val="clear" w:color="auto" w:fill="FFFF00"/>
          </w:tcPr>
          <w:p>
            <w:pPr>
              <w:pStyle w:val="TableParagraph"/>
              <w:spacing w:line="249" w:lineRule="exact"/>
              <w:ind w:left="195" w:right="193"/>
              <w:rPr>
                <w:b/>
                <w:sz w:val="22"/>
              </w:rPr>
            </w:pPr>
            <w:r>
              <w:rPr>
                <w:b/>
                <w:sz w:val="22"/>
              </w:rPr>
              <w:t>$741,332</w:t>
            </w:r>
          </w:p>
        </w:tc>
      </w:tr>
      <w:tr>
        <w:trPr>
          <w:trHeight w:val="700" w:hRule="atLeast"/>
        </w:trPr>
        <w:tc>
          <w:tcPr>
            <w:tcW w:w="4424" w:type="dxa"/>
          </w:tcPr>
          <w:p>
            <w:pPr>
              <w:pStyle w:val="TableParagraph"/>
              <w:spacing w:line="242" w:lineRule="auto"/>
              <w:ind w:left="1625" w:right="629" w:hanging="977"/>
              <w:jc w:val="left"/>
              <w:rPr>
                <w:b/>
                <w:sz w:val="22"/>
              </w:rPr>
            </w:pPr>
            <w:r>
              <w:rPr>
                <w:b/>
                <w:sz w:val="22"/>
              </w:rPr>
              <w:t>Consolidated Report for Rose Academies</w:t>
            </w:r>
          </w:p>
        </w:tc>
        <w:tc>
          <w:tcPr>
            <w:tcW w:w="1356" w:type="dxa"/>
          </w:tcPr>
          <w:p>
            <w:pPr>
              <w:pStyle w:val="TableParagraph"/>
              <w:spacing w:before="3"/>
              <w:jc w:val="left"/>
              <w:rPr>
                <w:rFonts w:ascii="Times New Roman"/>
                <w:sz w:val="21"/>
              </w:rPr>
            </w:pPr>
          </w:p>
          <w:p>
            <w:pPr>
              <w:pStyle w:val="TableParagraph"/>
              <w:ind w:left="103" w:right="101"/>
              <w:rPr>
                <w:b/>
                <w:sz w:val="22"/>
              </w:rPr>
            </w:pPr>
            <w:r>
              <w:rPr>
                <w:b/>
                <w:sz w:val="22"/>
              </w:rPr>
              <w:t>$37,614</w:t>
            </w:r>
          </w:p>
        </w:tc>
        <w:tc>
          <w:tcPr>
            <w:tcW w:w="1529" w:type="dxa"/>
            <w:shd w:val="clear" w:color="auto" w:fill="FFFF00"/>
          </w:tcPr>
          <w:p>
            <w:pPr>
              <w:pStyle w:val="TableParagraph"/>
              <w:spacing w:before="3"/>
              <w:jc w:val="left"/>
              <w:rPr>
                <w:rFonts w:ascii="Times New Roman"/>
                <w:sz w:val="21"/>
              </w:rPr>
            </w:pPr>
          </w:p>
          <w:p>
            <w:pPr>
              <w:pStyle w:val="TableParagraph"/>
              <w:ind w:left="153" w:right="151"/>
              <w:rPr>
                <w:b/>
                <w:sz w:val="22"/>
              </w:rPr>
            </w:pPr>
            <w:r>
              <w:rPr>
                <w:b/>
                <w:color w:val="FF0000"/>
                <w:sz w:val="22"/>
              </w:rPr>
              <w:t>-$346,104</w:t>
            </w:r>
          </w:p>
        </w:tc>
        <w:tc>
          <w:tcPr>
            <w:tcW w:w="1541" w:type="dxa"/>
            <w:shd w:val="clear" w:color="auto" w:fill="FFFF00"/>
          </w:tcPr>
          <w:p>
            <w:pPr>
              <w:pStyle w:val="TableParagraph"/>
              <w:spacing w:before="3"/>
              <w:jc w:val="left"/>
              <w:rPr>
                <w:rFonts w:ascii="Times New Roman"/>
                <w:sz w:val="21"/>
              </w:rPr>
            </w:pPr>
          </w:p>
          <w:p>
            <w:pPr>
              <w:pStyle w:val="TableParagraph"/>
              <w:ind w:left="195" w:right="193"/>
              <w:rPr>
                <w:b/>
                <w:sz w:val="22"/>
              </w:rPr>
            </w:pPr>
            <w:r>
              <w:rPr>
                <w:b/>
                <w:sz w:val="22"/>
              </w:rPr>
              <w:t>$383,718</w:t>
            </w:r>
          </w:p>
        </w:tc>
      </w:tr>
      <w:tr>
        <w:trPr>
          <w:trHeight w:val="420" w:hRule="atLeast"/>
        </w:trPr>
        <w:tc>
          <w:tcPr>
            <w:tcW w:w="4424" w:type="dxa"/>
          </w:tcPr>
          <w:p>
            <w:pPr>
              <w:pStyle w:val="TableParagraph"/>
              <w:spacing w:line="246" w:lineRule="exact"/>
              <w:ind w:left="83" w:right="81"/>
              <w:rPr>
                <w:b/>
                <w:sz w:val="22"/>
              </w:rPr>
            </w:pPr>
            <w:r>
              <w:rPr>
                <w:b/>
                <w:sz w:val="22"/>
              </w:rPr>
              <w:t>Institute for Transformative Education</w:t>
            </w:r>
          </w:p>
        </w:tc>
        <w:tc>
          <w:tcPr>
            <w:tcW w:w="1356" w:type="dxa"/>
          </w:tcPr>
          <w:p>
            <w:pPr>
              <w:pStyle w:val="TableParagraph"/>
              <w:spacing w:line="246" w:lineRule="exact"/>
              <w:ind w:left="101" w:right="101"/>
              <w:rPr>
                <w:b/>
                <w:sz w:val="22"/>
              </w:rPr>
            </w:pPr>
            <w:r>
              <w:rPr>
                <w:b/>
                <w:sz w:val="22"/>
              </w:rPr>
              <w:t>$4,526</w:t>
            </w:r>
          </w:p>
        </w:tc>
        <w:tc>
          <w:tcPr>
            <w:tcW w:w="1529" w:type="dxa"/>
            <w:shd w:val="clear" w:color="auto" w:fill="FFFF00"/>
          </w:tcPr>
          <w:p>
            <w:pPr>
              <w:pStyle w:val="TableParagraph"/>
              <w:spacing w:line="246" w:lineRule="exact"/>
              <w:ind w:left="153" w:right="151"/>
              <w:rPr>
                <w:b/>
                <w:sz w:val="22"/>
              </w:rPr>
            </w:pPr>
            <w:r>
              <w:rPr>
                <w:b/>
                <w:color w:val="FF0000"/>
                <w:sz w:val="22"/>
              </w:rPr>
              <w:t>-$310,354</w:t>
            </w:r>
          </w:p>
        </w:tc>
        <w:tc>
          <w:tcPr>
            <w:tcW w:w="1541" w:type="dxa"/>
            <w:shd w:val="clear" w:color="auto" w:fill="FFFF00"/>
          </w:tcPr>
          <w:p>
            <w:pPr>
              <w:pStyle w:val="TableParagraph"/>
              <w:spacing w:line="246" w:lineRule="exact"/>
              <w:ind w:left="195" w:right="193"/>
              <w:rPr>
                <w:b/>
                <w:sz w:val="22"/>
              </w:rPr>
            </w:pPr>
            <w:r>
              <w:rPr>
                <w:b/>
                <w:sz w:val="22"/>
              </w:rPr>
              <w:t>$314,880</w:t>
            </w:r>
          </w:p>
        </w:tc>
      </w:tr>
      <w:tr>
        <w:trPr>
          <w:trHeight w:val="440" w:hRule="atLeast"/>
        </w:trPr>
        <w:tc>
          <w:tcPr>
            <w:tcW w:w="4424" w:type="dxa"/>
          </w:tcPr>
          <w:p>
            <w:pPr>
              <w:pStyle w:val="TableParagraph"/>
              <w:spacing w:line="248" w:lineRule="exact"/>
              <w:ind w:left="82" w:right="83"/>
              <w:rPr>
                <w:b/>
                <w:sz w:val="22"/>
              </w:rPr>
            </w:pPr>
            <w:r>
              <w:rPr>
                <w:b/>
                <w:sz w:val="22"/>
              </w:rPr>
              <w:t>LEAD Charter Schools</w:t>
            </w:r>
          </w:p>
        </w:tc>
        <w:tc>
          <w:tcPr>
            <w:tcW w:w="1356" w:type="dxa"/>
            <w:shd w:val="clear" w:color="auto" w:fill="FFFF00"/>
          </w:tcPr>
          <w:p>
            <w:pPr>
              <w:pStyle w:val="TableParagraph"/>
              <w:spacing w:line="248" w:lineRule="exact"/>
              <w:ind w:left="103" w:right="101"/>
              <w:rPr>
                <w:b/>
                <w:sz w:val="22"/>
              </w:rPr>
            </w:pPr>
            <w:r>
              <w:rPr>
                <w:b/>
                <w:color w:val="FF0000"/>
                <w:sz w:val="22"/>
              </w:rPr>
              <w:t>-$252,701</w:t>
            </w:r>
          </w:p>
        </w:tc>
        <w:tc>
          <w:tcPr>
            <w:tcW w:w="1529" w:type="dxa"/>
            <w:shd w:val="clear" w:color="auto" w:fill="FFFF00"/>
          </w:tcPr>
          <w:p>
            <w:pPr>
              <w:pStyle w:val="TableParagraph"/>
              <w:spacing w:line="248" w:lineRule="exact"/>
              <w:ind w:left="153" w:right="151"/>
              <w:rPr>
                <w:b/>
                <w:sz w:val="22"/>
              </w:rPr>
            </w:pPr>
            <w:r>
              <w:rPr>
                <w:b/>
                <w:color w:val="FF0000"/>
                <w:sz w:val="22"/>
              </w:rPr>
              <w:t>-$299,735</w:t>
            </w:r>
          </w:p>
        </w:tc>
        <w:tc>
          <w:tcPr>
            <w:tcW w:w="1541" w:type="dxa"/>
            <w:shd w:val="clear" w:color="auto" w:fill="FFFF00"/>
          </w:tcPr>
          <w:p>
            <w:pPr>
              <w:pStyle w:val="TableParagraph"/>
              <w:spacing w:line="248" w:lineRule="exact"/>
              <w:ind w:left="197" w:right="193"/>
              <w:rPr>
                <w:b/>
                <w:sz w:val="22"/>
              </w:rPr>
            </w:pPr>
            <w:r>
              <w:rPr>
                <w:b/>
                <w:sz w:val="22"/>
              </w:rPr>
              <w:t>$47,034</w:t>
            </w:r>
          </w:p>
        </w:tc>
      </w:tr>
      <w:tr>
        <w:trPr>
          <w:trHeight w:val="420" w:hRule="atLeast"/>
        </w:trPr>
        <w:tc>
          <w:tcPr>
            <w:tcW w:w="4424" w:type="dxa"/>
          </w:tcPr>
          <w:p>
            <w:pPr>
              <w:pStyle w:val="TableParagraph"/>
              <w:spacing w:line="248" w:lineRule="exact"/>
              <w:ind w:left="83" w:right="83"/>
              <w:rPr>
                <w:b/>
                <w:sz w:val="22"/>
              </w:rPr>
            </w:pPr>
            <w:r>
              <w:rPr>
                <w:b/>
                <w:sz w:val="22"/>
              </w:rPr>
              <w:t>Fit Kids, Inc.</w:t>
            </w:r>
          </w:p>
        </w:tc>
        <w:tc>
          <w:tcPr>
            <w:tcW w:w="1356" w:type="dxa"/>
          </w:tcPr>
          <w:p>
            <w:pPr>
              <w:pStyle w:val="TableParagraph"/>
              <w:spacing w:line="248" w:lineRule="exact"/>
              <w:ind w:left="103" w:right="101"/>
              <w:rPr>
                <w:b/>
                <w:sz w:val="22"/>
              </w:rPr>
            </w:pPr>
            <w:r>
              <w:rPr>
                <w:b/>
                <w:sz w:val="22"/>
              </w:rPr>
              <w:t>$55,862</w:t>
            </w:r>
          </w:p>
        </w:tc>
        <w:tc>
          <w:tcPr>
            <w:tcW w:w="1529" w:type="dxa"/>
            <w:shd w:val="clear" w:color="auto" w:fill="FFFF00"/>
          </w:tcPr>
          <w:p>
            <w:pPr>
              <w:pStyle w:val="TableParagraph"/>
              <w:spacing w:line="248" w:lineRule="exact"/>
              <w:ind w:left="153" w:right="151"/>
              <w:rPr>
                <w:b/>
                <w:sz w:val="22"/>
              </w:rPr>
            </w:pPr>
            <w:r>
              <w:rPr>
                <w:b/>
                <w:color w:val="FF0000"/>
                <w:sz w:val="22"/>
              </w:rPr>
              <w:t>-$291,575</w:t>
            </w:r>
          </w:p>
        </w:tc>
        <w:tc>
          <w:tcPr>
            <w:tcW w:w="1541" w:type="dxa"/>
            <w:shd w:val="clear" w:color="auto" w:fill="FFFF00"/>
          </w:tcPr>
          <w:p>
            <w:pPr>
              <w:pStyle w:val="TableParagraph"/>
              <w:spacing w:line="248" w:lineRule="exact"/>
              <w:ind w:left="195" w:right="193"/>
              <w:rPr>
                <w:b/>
                <w:sz w:val="22"/>
              </w:rPr>
            </w:pPr>
            <w:r>
              <w:rPr>
                <w:b/>
                <w:sz w:val="22"/>
              </w:rPr>
              <w:t>$347,437</w:t>
            </w:r>
          </w:p>
        </w:tc>
      </w:tr>
      <w:tr>
        <w:trPr>
          <w:trHeight w:val="440" w:hRule="atLeast"/>
        </w:trPr>
        <w:tc>
          <w:tcPr>
            <w:tcW w:w="4424" w:type="dxa"/>
          </w:tcPr>
          <w:p>
            <w:pPr>
              <w:pStyle w:val="TableParagraph"/>
              <w:spacing w:line="250" w:lineRule="exact"/>
              <w:ind w:left="83" w:right="83"/>
              <w:rPr>
                <w:b/>
                <w:sz w:val="22"/>
              </w:rPr>
            </w:pPr>
            <w:r>
              <w:rPr>
                <w:b/>
                <w:sz w:val="22"/>
              </w:rPr>
              <w:t>Incito Schools</w:t>
            </w:r>
          </w:p>
        </w:tc>
        <w:tc>
          <w:tcPr>
            <w:tcW w:w="1356" w:type="dxa"/>
            <w:shd w:val="clear" w:color="auto" w:fill="FFFF00"/>
          </w:tcPr>
          <w:p>
            <w:pPr>
              <w:pStyle w:val="TableParagraph"/>
              <w:spacing w:line="250" w:lineRule="exact"/>
              <w:ind w:left="103" w:right="101"/>
              <w:rPr>
                <w:b/>
                <w:sz w:val="22"/>
              </w:rPr>
            </w:pPr>
            <w:r>
              <w:rPr>
                <w:b/>
                <w:color w:val="FF0000"/>
                <w:sz w:val="22"/>
              </w:rPr>
              <w:t>-$7,655</w:t>
            </w:r>
          </w:p>
        </w:tc>
        <w:tc>
          <w:tcPr>
            <w:tcW w:w="1529" w:type="dxa"/>
            <w:shd w:val="clear" w:color="auto" w:fill="FFFF00"/>
          </w:tcPr>
          <w:p>
            <w:pPr>
              <w:pStyle w:val="TableParagraph"/>
              <w:spacing w:line="250" w:lineRule="exact"/>
              <w:ind w:left="153" w:right="151"/>
              <w:rPr>
                <w:b/>
                <w:sz w:val="22"/>
              </w:rPr>
            </w:pPr>
            <w:r>
              <w:rPr>
                <w:b/>
                <w:color w:val="FF0000"/>
                <w:sz w:val="22"/>
              </w:rPr>
              <w:t>-$289,787</w:t>
            </w:r>
          </w:p>
        </w:tc>
        <w:tc>
          <w:tcPr>
            <w:tcW w:w="1541" w:type="dxa"/>
            <w:shd w:val="clear" w:color="auto" w:fill="FFFF00"/>
          </w:tcPr>
          <w:p>
            <w:pPr>
              <w:pStyle w:val="TableParagraph"/>
              <w:spacing w:line="250" w:lineRule="exact"/>
              <w:ind w:left="195" w:right="193"/>
              <w:rPr>
                <w:b/>
                <w:sz w:val="22"/>
              </w:rPr>
            </w:pPr>
            <w:r>
              <w:rPr>
                <w:b/>
                <w:sz w:val="22"/>
              </w:rPr>
              <w:t>$282,132</w:t>
            </w:r>
          </w:p>
        </w:tc>
      </w:tr>
      <w:tr>
        <w:trPr>
          <w:trHeight w:val="420" w:hRule="atLeast"/>
        </w:trPr>
        <w:tc>
          <w:tcPr>
            <w:tcW w:w="4424" w:type="dxa"/>
          </w:tcPr>
          <w:p>
            <w:pPr>
              <w:pStyle w:val="TableParagraph"/>
              <w:spacing w:line="246" w:lineRule="exact"/>
              <w:ind w:left="81" w:right="83"/>
              <w:rPr>
                <w:b/>
                <w:sz w:val="22"/>
              </w:rPr>
            </w:pPr>
            <w:r>
              <w:rPr>
                <w:b/>
                <w:sz w:val="22"/>
              </w:rPr>
              <w:t>STEP UP Schools, Inc.</w:t>
            </w:r>
          </w:p>
        </w:tc>
        <w:tc>
          <w:tcPr>
            <w:tcW w:w="1356" w:type="dxa"/>
            <w:shd w:val="clear" w:color="auto" w:fill="FFFF00"/>
          </w:tcPr>
          <w:p>
            <w:pPr>
              <w:pStyle w:val="TableParagraph"/>
              <w:spacing w:line="246" w:lineRule="exact"/>
              <w:ind w:left="103" w:right="101"/>
              <w:rPr>
                <w:b/>
                <w:sz w:val="22"/>
              </w:rPr>
            </w:pPr>
            <w:r>
              <w:rPr>
                <w:b/>
                <w:color w:val="FF0000"/>
                <w:sz w:val="22"/>
              </w:rPr>
              <w:t>-$282,796</w:t>
            </w:r>
          </w:p>
        </w:tc>
        <w:tc>
          <w:tcPr>
            <w:tcW w:w="1529" w:type="dxa"/>
            <w:shd w:val="clear" w:color="auto" w:fill="FFFF00"/>
          </w:tcPr>
          <w:p>
            <w:pPr>
              <w:pStyle w:val="TableParagraph"/>
              <w:spacing w:line="246" w:lineRule="exact"/>
              <w:ind w:left="153" w:right="151"/>
              <w:rPr>
                <w:b/>
                <w:sz w:val="22"/>
              </w:rPr>
            </w:pPr>
            <w:r>
              <w:rPr>
                <w:b/>
                <w:color w:val="FF0000"/>
                <w:sz w:val="22"/>
              </w:rPr>
              <w:t>-$288,450</w:t>
            </w:r>
          </w:p>
        </w:tc>
        <w:tc>
          <w:tcPr>
            <w:tcW w:w="1541" w:type="dxa"/>
          </w:tcPr>
          <w:p>
            <w:pPr>
              <w:pStyle w:val="TableParagraph"/>
              <w:spacing w:line="246" w:lineRule="exact"/>
              <w:ind w:left="195" w:right="193"/>
              <w:rPr>
                <w:b/>
                <w:sz w:val="22"/>
              </w:rPr>
            </w:pPr>
            <w:r>
              <w:rPr>
                <w:b/>
                <w:sz w:val="22"/>
              </w:rPr>
              <w:t>$5,654</w:t>
            </w:r>
          </w:p>
        </w:tc>
      </w:tr>
      <w:tr>
        <w:trPr>
          <w:trHeight w:val="440" w:hRule="atLeast"/>
        </w:trPr>
        <w:tc>
          <w:tcPr>
            <w:tcW w:w="4424" w:type="dxa"/>
          </w:tcPr>
          <w:p>
            <w:pPr>
              <w:pStyle w:val="TableParagraph"/>
              <w:spacing w:line="248" w:lineRule="exact"/>
              <w:ind w:left="81" w:right="83"/>
              <w:rPr>
                <w:b/>
                <w:sz w:val="22"/>
              </w:rPr>
            </w:pPr>
            <w:r>
              <w:rPr>
                <w:b/>
                <w:sz w:val="22"/>
              </w:rPr>
              <w:t>Park View School, Inc.</w:t>
            </w:r>
          </w:p>
        </w:tc>
        <w:tc>
          <w:tcPr>
            <w:tcW w:w="1356" w:type="dxa"/>
            <w:shd w:val="clear" w:color="auto" w:fill="FFFF00"/>
          </w:tcPr>
          <w:p>
            <w:pPr>
              <w:pStyle w:val="TableParagraph"/>
              <w:spacing w:line="248" w:lineRule="exact"/>
              <w:ind w:left="103" w:right="101"/>
              <w:rPr>
                <w:b/>
                <w:sz w:val="22"/>
              </w:rPr>
            </w:pPr>
            <w:r>
              <w:rPr>
                <w:b/>
                <w:color w:val="FF0000"/>
                <w:sz w:val="22"/>
              </w:rPr>
              <w:t>-$263,471</w:t>
            </w:r>
          </w:p>
        </w:tc>
        <w:tc>
          <w:tcPr>
            <w:tcW w:w="1529" w:type="dxa"/>
            <w:shd w:val="clear" w:color="auto" w:fill="FFFF00"/>
          </w:tcPr>
          <w:p>
            <w:pPr>
              <w:pStyle w:val="TableParagraph"/>
              <w:spacing w:line="248" w:lineRule="exact"/>
              <w:ind w:left="153" w:right="151"/>
              <w:rPr>
                <w:b/>
                <w:sz w:val="22"/>
              </w:rPr>
            </w:pPr>
            <w:r>
              <w:rPr>
                <w:b/>
                <w:color w:val="FF0000"/>
                <w:sz w:val="22"/>
              </w:rPr>
              <w:t>-$288,156</w:t>
            </w:r>
          </w:p>
        </w:tc>
        <w:tc>
          <w:tcPr>
            <w:tcW w:w="1541" w:type="dxa"/>
          </w:tcPr>
          <w:p>
            <w:pPr>
              <w:pStyle w:val="TableParagraph"/>
              <w:spacing w:line="248" w:lineRule="exact"/>
              <w:ind w:left="197" w:right="193"/>
              <w:rPr>
                <w:b/>
                <w:sz w:val="22"/>
              </w:rPr>
            </w:pPr>
            <w:r>
              <w:rPr>
                <w:b/>
                <w:sz w:val="22"/>
              </w:rPr>
              <w:t>$24,685</w:t>
            </w:r>
          </w:p>
        </w:tc>
      </w:tr>
      <w:tr>
        <w:trPr>
          <w:trHeight w:val="420" w:hRule="atLeast"/>
        </w:trPr>
        <w:tc>
          <w:tcPr>
            <w:tcW w:w="4424" w:type="dxa"/>
          </w:tcPr>
          <w:p>
            <w:pPr>
              <w:pStyle w:val="TableParagraph"/>
              <w:spacing w:line="246" w:lineRule="exact"/>
              <w:ind w:left="83" w:right="83"/>
              <w:rPr>
                <w:b/>
                <w:sz w:val="22"/>
              </w:rPr>
            </w:pPr>
            <w:r>
              <w:rPr>
                <w:b/>
                <w:sz w:val="22"/>
              </w:rPr>
              <w:t>Imagine Coolidge Elementary, Inc.</w:t>
            </w:r>
          </w:p>
        </w:tc>
        <w:tc>
          <w:tcPr>
            <w:tcW w:w="1356" w:type="dxa"/>
            <w:shd w:val="clear" w:color="auto" w:fill="FFFF00"/>
          </w:tcPr>
          <w:p>
            <w:pPr>
              <w:pStyle w:val="TableParagraph"/>
              <w:spacing w:line="246" w:lineRule="exact"/>
              <w:ind w:left="103" w:right="101"/>
              <w:rPr>
                <w:b/>
                <w:sz w:val="22"/>
              </w:rPr>
            </w:pPr>
            <w:r>
              <w:rPr>
                <w:b/>
                <w:color w:val="FF0000"/>
                <w:sz w:val="22"/>
              </w:rPr>
              <w:t>-$208,923</w:t>
            </w:r>
          </w:p>
        </w:tc>
        <w:tc>
          <w:tcPr>
            <w:tcW w:w="1529" w:type="dxa"/>
            <w:shd w:val="clear" w:color="auto" w:fill="FFFF00"/>
          </w:tcPr>
          <w:p>
            <w:pPr>
              <w:pStyle w:val="TableParagraph"/>
              <w:spacing w:line="246" w:lineRule="exact"/>
              <w:ind w:left="153" w:right="151"/>
              <w:rPr>
                <w:b/>
                <w:sz w:val="22"/>
              </w:rPr>
            </w:pPr>
            <w:r>
              <w:rPr>
                <w:b/>
                <w:color w:val="FF0000"/>
                <w:sz w:val="22"/>
              </w:rPr>
              <w:t>-$275,153</w:t>
            </w:r>
          </w:p>
        </w:tc>
        <w:tc>
          <w:tcPr>
            <w:tcW w:w="1541" w:type="dxa"/>
            <w:shd w:val="clear" w:color="auto" w:fill="FFFF00"/>
          </w:tcPr>
          <w:p>
            <w:pPr>
              <w:pStyle w:val="TableParagraph"/>
              <w:spacing w:line="246" w:lineRule="exact"/>
              <w:ind w:left="197" w:right="193"/>
              <w:rPr>
                <w:b/>
                <w:sz w:val="22"/>
              </w:rPr>
            </w:pPr>
            <w:r>
              <w:rPr>
                <w:b/>
                <w:sz w:val="22"/>
              </w:rPr>
              <w:t>$66,230</w:t>
            </w:r>
          </w:p>
        </w:tc>
      </w:tr>
      <w:tr>
        <w:trPr>
          <w:trHeight w:val="440" w:hRule="atLeast"/>
        </w:trPr>
        <w:tc>
          <w:tcPr>
            <w:tcW w:w="4424" w:type="dxa"/>
          </w:tcPr>
          <w:p>
            <w:pPr>
              <w:pStyle w:val="TableParagraph"/>
              <w:spacing w:line="247" w:lineRule="exact"/>
              <w:ind w:left="83" w:right="83"/>
              <w:rPr>
                <w:b/>
                <w:sz w:val="22"/>
              </w:rPr>
            </w:pPr>
            <w:r>
              <w:rPr>
                <w:b/>
                <w:sz w:val="22"/>
              </w:rPr>
              <w:t>Carpe Diem Collegiate High School</w:t>
            </w:r>
          </w:p>
        </w:tc>
        <w:tc>
          <w:tcPr>
            <w:tcW w:w="1356" w:type="dxa"/>
            <w:shd w:val="clear" w:color="auto" w:fill="FFFF00"/>
          </w:tcPr>
          <w:p>
            <w:pPr>
              <w:pStyle w:val="TableParagraph"/>
              <w:spacing w:line="247" w:lineRule="exact"/>
              <w:ind w:left="101" w:right="101"/>
              <w:rPr>
                <w:b/>
                <w:sz w:val="22"/>
              </w:rPr>
            </w:pPr>
            <w:r>
              <w:rPr>
                <w:b/>
                <w:color w:val="FF0000"/>
                <w:sz w:val="22"/>
              </w:rPr>
              <w:t>-$95,036</w:t>
            </w:r>
          </w:p>
        </w:tc>
        <w:tc>
          <w:tcPr>
            <w:tcW w:w="1529" w:type="dxa"/>
            <w:shd w:val="clear" w:color="auto" w:fill="FFFF00"/>
          </w:tcPr>
          <w:p>
            <w:pPr>
              <w:pStyle w:val="TableParagraph"/>
              <w:spacing w:line="247" w:lineRule="exact"/>
              <w:ind w:left="153" w:right="151"/>
              <w:rPr>
                <w:b/>
                <w:sz w:val="22"/>
              </w:rPr>
            </w:pPr>
            <w:r>
              <w:rPr>
                <w:b/>
                <w:color w:val="FF0000"/>
                <w:sz w:val="22"/>
              </w:rPr>
              <w:t>-$265,251</w:t>
            </w:r>
          </w:p>
        </w:tc>
        <w:tc>
          <w:tcPr>
            <w:tcW w:w="1541" w:type="dxa"/>
            <w:shd w:val="clear" w:color="auto" w:fill="FFFF00"/>
          </w:tcPr>
          <w:p>
            <w:pPr>
              <w:pStyle w:val="TableParagraph"/>
              <w:spacing w:line="247" w:lineRule="exact"/>
              <w:ind w:left="195" w:right="193"/>
              <w:rPr>
                <w:b/>
                <w:sz w:val="22"/>
              </w:rPr>
            </w:pPr>
            <w:r>
              <w:rPr>
                <w:b/>
                <w:sz w:val="22"/>
              </w:rPr>
              <w:t>$170,215</w:t>
            </w:r>
          </w:p>
        </w:tc>
      </w:tr>
      <w:tr>
        <w:trPr>
          <w:trHeight w:val="420" w:hRule="atLeast"/>
        </w:trPr>
        <w:tc>
          <w:tcPr>
            <w:tcW w:w="4424" w:type="dxa"/>
          </w:tcPr>
          <w:p>
            <w:pPr>
              <w:pStyle w:val="TableParagraph"/>
              <w:spacing w:line="246" w:lineRule="exact"/>
              <w:ind w:left="82" w:right="83"/>
              <w:rPr>
                <w:b/>
                <w:sz w:val="22"/>
              </w:rPr>
            </w:pPr>
            <w:r>
              <w:rPr>
                <w:b/>
                <w:sz w:val="22"/>
              </w:rPr>
              <w:t>Heritage Academy Queen Creek, Inc.</w:t>
            </w:r>
          </w:p>
        </w:tc>
        <w:tc>
          <w:tcPr>
            <w:tcW w:w="1356" w:type="dxa"/>
            <w:shd w:val="clear" w:color="auto" w:fill="FFFF00"/>
          </w:tcPr>
          <w:p>
            <w:pPr>
              <w:pStyle w:val="TableParagraph"/>
              <w:spacing w:line="246" w:lineRule="exact"/>
              <w:ind w:left="103" w:right="101"/>
              <w:rPr>
                <w:b/>
                <w:sz w:val="22"/>
              </w:rPr>
            </w:pPr>
            <w:r>
              <w:rPr>
                <w:b/>
                <w:color w:val="FF0000"/>
                <w:sz w:val="22"/>
              </w:rPr>
              <w:t>-$190,627</w:t>
            </w:r>
          </w:p>
        </w:tc>
        <w:tc>
          <w:tcPr>
            <w:tcW w:w="1529" w:type="dxa"/>
            <w:shd w:val="clear" w:color="auto" w:fill="FFFF00"/>
          </w:tcPr>
          <w:p>
            <w:pPr>
              <w:pStyle w:val="TableParagraph"/>
              <w:spacing w:line="246" w:lineRule="exact"/>
              <w:ind w:left="153" w:right="151"/>
              <w:rPr>
                <w:b/>
                <w:sz w:val="22"/>
              </w:rPr>
            </w:pPr>
            <w:r>
              <w:rPr>
                <w:b/>
                <w:color w:val="FF0000"/>
                <w:sz w:val="22"/>
              </w:rPr>
              <w:t>-$258,443</w:t>
            </w:r>
          </w:p>
        </w:tc>
        <w:tc>
          <w:tcPr>
            <w:tcW w:w="1541" w:type="dxa"/>
            <w:shd w:val="clear" w:color="auto" w:fill="FFFF00"/>
          </w:tcPr>
          <w:p>
            <w:pPr>
              <w:pStyle w:val="TableParagraph"/>
              <w:spacing w:line="246" w:lineRule="exact"/>
              <w:ind w:left="197" w:right="193"/>
              <w:rPr>
                <w:b/>
                <w:sz w:val="22"/>
              </w:rPr>
            </w:pPr>
            <w:r>
              <w:rPr>
                <w:b/>
                <w:sz w:val="22"/>
              </w:rPr>
              <w:t>$67,816</w:t>
            </w:r>
          </w:p>
        </w:tc>
      </w:tr>
      <w:tr>
        <w:trPr>
          <w:trHeight w:val="440" w:hRule="atLeast"/>
        </w:trPr>
        <w:tc>
          <w:tcPr>
            <w:tcW w:w="4424" w:type="dxa"/>
          </w:tcPr>
          <w:p>
            <w:pPr>
              <w:pStyle w:val="TableParagraph"/>
              <w:spacing w:line="248" w:lineRule="exact"/>
              <w:ind w:left="83" w:right="83"/>
              <w:rPr>
                <w:b/>
                <w:sz w:val="22"/>
              </w:rPr>
            </w:pPr>
            <w:r>
              <w:rPr>
                <w:b/>
                <w:sz w:val="22"/>
              </w:rPr>
              <w:t>Ball Charter Schools (Val Vista)</w:t>
            </w:r>
          </w:p>
        </w:tc>
        <w:tc>
          <w:tcPr>
            <w:tcW w:w="1356" w:type="dxa"/>
          </w:tcPr>
          <w:p>
            <w:pPr>
              <w:pStyle w:val="TableParagraph"/>
              <w:spacing w:line="248" w:lineRule="exact"/>
              <w:ind w:left="103" w:right="101"/>
              <w:rPr>
                <w:b/>
                <w:sz w:val="22"/>
              </w:rPr>
            </w:pPr>
            <w:r>
              <w:rPr>
                <w:b/>
                <w:sz w:val="22"/>
              </w:rPr>
              <w:t>$50,795</w:t>
            </w:r>
          </w:p>
        </w:tc>
        <w:tc>
          <w:tcPr>
            <w:tcW w:w="1529" w:type="dxa"/>
            <w:shd w:val="clear" w:color="auto" w:fill="FFFF00"/>
          </w:tcPr>
          <w:p>
            <w:pPr>
              <w:pStyle w:val="TableParagraph"/>
              <w:spacing w:line="248" w:lineRule="exact"/>
              <w:ind w:left="153" w:right="151"/>
              <w:rPr>
                <w:b/>
                <w:sz w:val="22"/>
              </w:rPr>
            </w:pPr>
            <w:r>
              <w:rPr>
                <w:b/>
                <w:color w:val="FF0000"/>
                <w:sz w:val="22"/>
              </w:rPr>
              <w:t>-$256,230</w:t>
            </w:r>
          </w:p>
        </w:tc>
        <w:tc>
          <w:tcPr>
            <w:tcW w:w="1541" w:type="dxa"/>
            <w:shd w:val="clear" w:color="auto" w:fill="FFFF00"/>
          </w:tcPr>
          <w:p>
            <w:pPr>
              <w:pStyle w:val="TableParagraph"/>
              <w:spacing w:line="248" w:lineRule="exact"/>
              <w:ind w:left="195" w:right="193"/>
              <w:rPr>
                <w:b/>
                <w:sz w:val="22"/>
              </w:rPr>
            </w:pPr>
            <w:r>
              <w:rPr>
                <w:b/>
                <w:sz w:val="22"/>
              </w:rPr>
              <w:t>$307,025</w:t>
            </w:r>
          </w:p>
        </w:tc>
      </w:tr>
      <w:tr>
        <w:trPr>
          <w:trHeight w:val="700" w:hRule="atLeast"/>
        </w:trPr>
        <w:tc>
          <w:tcPr>
            <w:tcW w:w="4424" w:type="dxa"/>
          </w:tcPr>
          <w:p>
            <w:pPr>
              <w:pStyle w:val="TableParagraph"/>
              <w:ind w:left="1797" w:right="221" w:hanging="1560"/>
              <w:jc w:val="left"/>
              <w:rPr>
                <w:b/>
                <w:sz w:val="22"/>
              </w:rPr>
            </w:pPr>
            <w:r>
              <w:rPr>
                <w:b/>
                <w:sz w:val="22"/>
              </w:rPr>
              <w:t>Arizona Montessori Charter School at Anthem</w:t>
            </w:r>
          </w:p>
        </w:tc>
        <w:tc>
          <w:tcPr>
            <w:tcW w:w="1356" w:type="dxa"/>
            <w:shd w:val="clear" w:color="auto" w:fill="FFFF00"/>
          </w:tcPr>
          <w:p>
            <w:pPr>
              <w:pStyle w:val="TableParagraph"/>
              <w:spacing w:before="1"/>
              <w:jc w:val="left"/>
              <w:rPr>
                <w:rFonts w:ascii="Times New Roman"/>
                <w:sz w:val="21"/>
              </w:rPr>
            </w:pPr>
          </w:p>
          <w:p>
            <w:pPr>
              <w:pStyle w:val="TableParagraph"/>
              <w:ind w:left="103" w:right="101"/>
              <w:rPr>
                <w:b/>
                <w:sz w:val="22"/>
              </w:rPr>
            </w:pPr>
            <w:r>
              <w:rPr>
                <w:b/>
                <w:color w:val="FF0000"/>
                <w:sz w:val="22"/>
              </w:rPr>
              <w:t>-$132,783</w:t>
            </w:r>
          </w:p>
        </w:tc>
        <w:tc>
          <w:tcPr>
            <w:tcW w:w="1529" w:type="dxa"/>
            <w:shd w:val="clear" w:color="auto" w:fill="FFFF00"/>
          </w:tcPr>
          <w:p>
            <w:pPr>
              <w:pStyle w:val="TableParagraph"/>
              <w:spacing w:before="1"/>
              <w:jc w:val="left"/>
              <w:rPr>
                <w:rFonts w:ascii="Times New Roman"/>
                <w:sz w:val="21"/>
              </w:rPr>
            </w:pPr>
          </w:p>
          <w:p>
            <w:pPr>
              <w:pStyle w:val="TableParagraph"/>
              <w:ind w:left="153" w:right="151"/>
              <w:rPr>
                <w:b/>
                <w:sz w:val="22"/>
              </w:rPr>
            </w:pPr>
            <w:r>
              <w:rPr>
                <w:b/>
                <w:color w:val="FF0000"/>
                <w:sz w:val="22"/>
              </w:rPr>
              <w:t>-$254,447</w:t>
            </w:r>
          </w:p>
        </w:tc>
        <w:tc>
          <w:tcPr>
            <w:tcW w:w="1541" w:type="dxa"/>
            <w:shd w:val="clear" w:color="auto" w:fill="FFFF00"/>
          </w:tcPr>
          <w:p>
            <w:pPr>
              <w:pStyle w:val="TableParagraph"/>
              <w:spacing w:before="1"/>
              <w:jc w:val="left"/>
              <w:rPr>
                <w:rFonts w:ascii="Times New Roman"/>
                <w:sz w:val="21"/>
              </w:rPr>
            </w:pPr>
          </w:p>
          <w:p>
            <w:pPr>
              <w:pStyle w:val="TableParagraph"/>
              <w:ind w:left="195" w:right="193"/>
              <w:rPr>
                <w:b/>
                <w:sz w:val="22"/>
              </w:rPr>
            </w:pPr>
            <w:r>
              <w:rPr>
                <w:b/>
                <w:sz w:val="22"/>
              </w:rPr>
              <w:t>$121,664</w:t>
            </w:r>
          </w:p>
        </w:tc>
      </w:tr>
      <w:tr>
        <w:trPr>
          <w:trHeight w:val="700" w:hRule="atLeast"/>
        </w:trPr>
        <w:tc>
          <w:tcPr>
            <w:tcW w:w="4424" w:type="dxa"/>
          </w:tcPr>
          <w:p>
            <w:pPr>
              <w:pStyle w:val="TableParagraph"/>
              <w:spacing w:line="242" w:lineRule="auto"/>
              <w:ind w:left="1591" w:right="579" w:hanging="1004"/>
              <w:jc w:val="left"/>
              <w:rPr>
                <w:b/>
                <w:sz w:val="22"/>
              </w:rPr>
            </w:pPr>
            <w:r>
              <w:rPr>
                <w:b/>
                <w:sz w:val="22"/>
              </w:rPr>
              <w:t>Arizona Academy of Science &amp; Technology</w:t>
            </w:r>
          </w:p>
        </w:tc>
        <w:tc>
          <w:tcPr>
            <w:tcW w:w="1356" w:type="dxa"/>
            <w:shd w:val="clear" w:color="auto" w:fill="FFFF00"/>
          </w:tcPr>
          <w:p>
            <w:pPr>
              <w:pStyle w:val="TableParagraph"/>
              <w:jc w:val="left"/>
              <w:rPr>
                <w:rFonts w:ascii="Times New Roman"/>
                <w:sz w:val="21"/>
              </w:rPr>
            </w:pPr>
          </w:p>
          <w:p>
            <w:pPr>
              <w:pStyle w:val="TableParagraph"/>
              <w:ind w:left="103" w:right="101"/>
              <w:rPr>
                <w:b/>
                <w:sz w:val="22"/>
              </w:rPr>
            </w:pPr>
            <w:r>
              <w:rPr>
                <w:b/>
                <w:color w:val="FF0000"/>
                <w:sz w:val="22"/>
              </w:rPr>
              <w:t>-$284,717</w:t>
            </w:r>
          </w:p>
        </w:tc>
        <w:tc>
          <w:tcPr>
            <w:tcW w:w="1529" w:type="dxa"/>
            <w:shd w:val="clear" w:color="auto" w:fill="FFFF00"/>
          </w:tcPr>
          <w:p>
            <w:pPr>
              <w:pStyle w:val="TableParagraph"/>
              <w:jc w:val="left"/>
              <w:rPr>
                <w:rFonts w:ascii="Times New Roman"/>
                <w:sz w:val="21"/>
              </w:rPr>
            </w:pPr>
          </w:p>
          <w:p>
            <w:pPr>
              <w:pStyle w:val="TableParagraph"/>
              <w:ind w:left="153" w:right="151"/>
              <w:rPr>
                <w:b/>
                <w:sz w:val="22"/>
              </w:rPr>
            </w:pPr>
            <w:r>
              <w:rPr>
                <w:b/>
                <w:color w:val="FF0000"/>
                <w:sz w:val="22"/>
              </w:rPr>
              <w:t>-$251,867</w:t>
            </w:r>
          </w:p>
        </w:tc>
        <w:tc>
          <w:tcPr>
            <w:tcW w:w="1541" w:type="dxa"/>
          </w:tcPr>
          <w:p>
            <w:pPr>
              <w:pStyle w:val="TableParagraph"/>
              <w:jc w:val="left"/>
              <w:rPr>
                <w:rFonts w:ascii="Times New Roman"/>
                <w:sz w:val="21"/>
              </w:rPr>
            </w:pPr>
          </w:p>
          <w:p>
            <w:pPr>
              <w:pStyle w:val="TableParagraph"/>
              <w:ind w:left="197" w:right="193"/>
              <w:rPr>
                <w:b/>
                <w:sz w:val="22"/>
              </w:rPr>
            </w:pPr>
            <w:r>
              <w:rPr>
                <w:b/>
                <w:sz w:val="22"/>
              </w:rPr>
              <w:t>$32,850</w:t>
            </w:r>
          </w:p>
        </w:tc>
      </w:tr>
      <w:tr>
        <w:trPr>
          <w:trHeight w:val="420" w:hRule="atLeast"/>
        </w:trPr>
        <w:tc>
          <w:tcPr>
            <w:tcW w:w="4424" w:type="dxa"/>
          </w:tcPr>
          <w:p>
            <w:pPr>
              <w:pStyle w:val="TableParagraph"/>
              <w:spacing w:line="248" w:lineRule="exact"/>
              <w:ind w:left="83" w:right="82"/>
              <w:rPr>
                <w:b/>
                <w:sz w:val="22"/>
              </w:rPr>
            </w:pPr>
            <w:r>
              <w:rPr>
                <w:b/>
                <w:sz w:val="22"/>
              </w:rPr>
              <w:t>Foothills Academy</w:t>
            </w:r>
          </w:p>
        </w:tc>
        <w:tc>
          <w:tcPr>
            <w:tcW w:w="1356" w:type="dxa"/>
            <w:shd w:val="clear" w:color="auto" w:fill="FFFF00"/>
          </w:tcPr>
          <w:p>
            <w:pPr>
              <w:pStyle w:val="TableParagraph"/>
              <w:spacing w:line="248" w:lineRule="exact"/>
              <w:ind w:left="103" w:right="101"/>
              <w:rPr>
                <w:b/>
                <w:sz w:val="22"/>
              </w:rPr>
            </w:pPr>
            <w:r>
              <w:rPr>
                <w:b/>
                <w:color w:val="FF0000"/>
                <w:sz w:val="22"/>
              </w:rPr>
              <w:t>-$279,829</w:t>
            </w:r>
          </w:p>
        </w:tc>
        <w:tc>
          <w:tcPr>
            <w:tcW w:w="1529" w:type="dxa"/>
            <w:shd w:val="clear" w:color="auto" w:fill="FFFF00"/>
          </w:tcPr>
          <w:p>
            <w:pPr>
              <w:pStyle w:val="TableParagraph"/>
              <w:spacing w:line="248" w:lineRule="exact"/>
              <w:ind w:left="153" w:right="151"/>
              <w:rPr>
                <w:b/>
                <w:sz w:val="22"/>
              </w:rPr>
            </w:pPr>
            <w:r>
              <w:rPr>
                <w:b/>
                <w:color w:val="FF0000"/>
                <w:sz w:val="22"/>
              </w:rPr>
              <w:t>-$251,034</w:t>
            </w:r>
          </w:p>
        </w:tc>
        <w:tc>
          <w:tcPr>
            <w:tcW w:w="1541" w:type="dxa"/>
          </w:tcPr>
          <w:p>
            <w:pPr>
              <w:pStyle w:val="TableParagraph"/>
              <w:spacing w:line="248" w:lineRule="exact"/>
              <w:ind w:left="197" w:right="193"/>
              <w:rPr>
                <w:b/>
                <w:sz w:val="22"/>
              </w:rPr>
            </w:pPr>
            <w:r>
              <w:rPr>
                <w:b/>
                <w:sz w:val="22"/>
              </w:rPr>
              <w:t>$28,795</w:t>
            </w:r>
          </w:p>
        </w:tc>
      </w:tr>
      <w:tr>
        <w:trPr>
          <w:trHeight w:val="440" w:hRule="atLeast"/>
        </w:trPr>
        <w:tc>
          <w:tcPr>
            <w:tcW w:w="4424" w:type="dxa"/>
          </w:tcPr>
          <w:p>
            <w:pPr>
              <w:pStyle w:val="TableParagraph"/>
              <w:spacing w:line="246" w:lineRule="exact"/>
              <w:ind w:left="82" w:right="83"/>
              <w:rPr>
                <w:b/>
                <w:sz w:val="22"/>
              </w:rPr>
            </w:pPr>
            <w:r>
              <w:rPr>
                <w:b/>
                <w:sz w:val="22"/>
              </w:rPr>
              <w:t>Desert Heights Charter Schools</w:t>
            </w:r>
          </w:p>
        </w:tc>
        <w:tc>
          <w:tcPr>
            <w:tcW w:w="1356" w:type="dxa"/>
            <w:shd w:val="clear" w:color="auto" w:fill="FFFF00"/>
          </w:tcPr>
          <w:p>
            <w:pPr>
              <w:pStyle w:val="TableParagraph"/>
              <w:spacing w:line="246" w:lineRule="exact"/>
              <w:ind w:left="101" w:right="101"/>
              <w:rPr>
                <w:b/>
                <w:sz w:val="22"/>
              </w:rPr>
            </w:pPr>
            <w:r>
              <w:rPr>
                <w:b/>
                <w:color w:val="FF0000"/>
                <w:sz w:val="22"/>
              </w:rPr>
              <w:t>-$42,609</w:t>
            </w:r>
          </w:p>
        </w:tc>
        <w:tc>
          <w:tcPr>
            <w:tcW w:w="1529" w:type="dxa"/>
            <w:shd w:val="clear" w:color="auto" w:fill="FFFF00"/>
          </w:tcPr>
          <w:p>
            <w:pPr>
              <w:pStyle w:val="TableParagraph"/>
              <w:spacing w:line="246" w:lineRule="exact"/>
              <w:ind w:left="153" w:right="151"/>
              <w:rPr>
                <w:b/>
                <w:sz w:val="22"/>
              </w:rPr>
            </w:pPr>
            <w:r>
              <w:rPr>
                <w:b/>
                <w:color w:val="FF0000"/>
                <w:sz w:val="22"/>
              </w:rPr>
              <w:t>-$248,978</w:t>
            </w:r>
          </w:p>
        </w:tc>
        <w:tc>
          <w:tcPr>
            <w:tcW w:w="1541" w:type="dxa"/>
            <w:shd w:val="clear" w:color="auto" w:fill="FFFF00"/>
          </w:tcPr>
          <w:p>
            <w:pPr>
              <w:pStyle w:val="TableParagraph"/>
              <w:spacing w:line="246" w:lineRule="exact"/>
              <w:ind w:left="195" w:right="193"/>
              <w:rPr>
                <w:b/>
                <w:sz w:val="22"/>
              </w:rPr>
            </w:pPr>
            <w:r>
              <w:rPr>
                <w:b/>
                <w:sz w:val="22"/>
              </w:rPr>
              <w:t>$206,369</w:t>
            </w:r>
          </w:p>
        </w:tc>
      </w:tr>
      <w:tr>
        <w:trPr>
          <w:trHeight w:val="420" w:hRule="atLeast"/>
        </w:trPr>
        <w:tc>
          <w:tcPr>
            <w:tcW w:w="4424" w:type="dxa"/>
          </w:tcPr>
          <w:p>
            <w:pPr>
              <w:pStyle w:val="TableParagraph"/>
              <w:spacing w:line="246" w:lineRule="exact"/>
              <w:ind w:left="81" w:right="83"/>
              <w:rPr>
                <w:b/>
                <w:sz w:val="22"/>
              </w:rPr>
            </w:pPr>
            <w:r>
              <w:rPr>
                <w:b/>
                <w:sz w:val="22"/>
              </w:rPr>
              <w:t>Friendly House, Inc.</w:t>
            </w:r>
          </w:p>
        </w:tc>
        <w:tc>
          <w:tcPr>
            <w:tcW w:w="1356" w:type="dxa"/>
          </w:tcPr>
          <w:p>
            <w:pPr>
              <w:pStyle w:val="TableParagraph"/>
              <w:spacing w:line="246" w:lineRule="exact"/>
              <w:ind w:left="103" w:right="101"/>
              <w:rPr>
                <w:b/>
                <w:sz w:val="22"/>
              </w:rPr>
            </w:pPr>
            <w:r>
              <w:rPr>
                <w:b/>
                <w:sz w:val="22"/>
              </w:rPr>
              <w:t>$1,271,791</w:t>
            </w:r>
          </w:p>
        </w:tc>
        <w:tc>
          <w:tcPr>
            <w:tcW w:w="1529" w:type="dxa"/>
            <w:shd w:val="clear" w:color="auto" w:fill="FFFF00"/>
          </w:tcPr>
          <w:p>
            <w:pPr>
              <w:pStyle w:val="TableParagraph"/>
              <w:spacing w:line="246" w:lineRule="exact"/>
              <w:ind w:left="153" w:right="151"/>
              <w:rPr>
                <w:b/>
                <w:sz w:val="22"/>
              </w:rPr>
            </w:pPr>
            <w:r>
              <w:rPr>
                <w:b/>
                <w:color w:val="FF0000"/>
                <w:sz w:val="22"/>
              </w:rPr>
              <w:t>-$244,126</w:t>
            </w:r>
          </w:p>
        </w:tc>
        <w:tc>
          <w:tcPr>
            <w:tcW w:w="1541" w:type="dxa"/>
            <w:shd w:val="clear" w:color="auto" w:fill="FFFF00"/>
          </w:tcPr>
          <w:p>
            <w:pPr>
              <w:pStyle w:val="TableParagraph"/>
              <w:spacing w:line="246" w:lineRule="exact"/>
              <w:ind w:left="197" w:right="193"/>
              <w:rPr>
                <w:b/>
                <w:sz w:val="22"/>
              </w:rPr>
            </w:pPr>
            <w:r>
              <w:rPr>
                <w:b/>
                <w:sz w:val="22"/>
              </w:rPr>
              <w:t>$1,515,917</w:t>
            </w:r>
          </w:p>
        </w:tc>
      </w:tr>
      <w:tr>
        <w:trPr>
          <w:trHeight w:val="440" w:hRule="atLeast"/>
        </w:trPr>
        <w:tc>
          <w:tcPr>
            <w:tcW w:w="4424" w:type="dxa"/>
          </w:tcPr>
          <w:p>
            <w:pPr>
              <w:pStyle w:val="TableParagraph"/>
              <w:spacing w:line="246" w:lineRule="exact"/>
              <w:ind w:left="82" w:right="83"/>
              <w:rPr>
                <w:b/>
                <w:sz w:val="22"/>
              </w:rPr>
            </w:pPr>
            <w:r>
              <w:rPr>
                <w:b/>
                <w:sz w:val="22"/>
              </w:rPr>
              <w:t>Pinnacle Education - Tempe, Inc.</w:t>
            </w:r>
          </w:p>
        </w:tc>
        <w:tc>
          <w:tcPr>
            <w:tcW w:w="1356" w:type="dxa"/>
          </w:tcPr>
          <w:p>
            <w:pPr>
              <w:pStyle w:val="TableParagraph"/>
              <w:spacing w:line="246" w:lineRule="exact"/>
              <w:ind w:left="103" w:right="101"/>
              <w:rPr>
                <w:b/>
                <w:sz w:val="22"/>
              </w:rPr>
            </w:pPr>
            <w:r>
              <w:rPr>
                <w:b/>
                <w:sz w:val="22"/>
              </w:rPr>
              <w:t>$1,610,462</w:t>
            </w:r>
          </w:p>
        </w:tc>
        <w:tc>
          <w:tcPr>
            <w:tcW w:w="1529" w:type="dxa"/>
            <w:shd w:val="clear" w:color="auto" w:fill="FFFF00"/>
          </w:tcPr>
          <w:p>
            <w:pPr>
              <w:pStyle w:val="TableParagraph"/>
              <w:spacing w:line="246" w:lineRule="exact"/>
              <w:ind w:left="153" w:right="151"/>
              <w:rPr>
                <w:b/>
                <w:sz w:val="22"/>
              </w:rPr>
            </w:pPr>
            <w:r>
              <w:rPr>
                <w:b/>
                <w:color w:val="FF0000"/>
                <w:sz w:val="22"/>
              </w:rPr>
              <w:t>-$241,122</w:t>
            </w:r>
          </w:p>
        </w:tc>
        <w:tc>
          <w:tcPr>
            <w:tcW w:w="1541" w:type="dxa"/>
            <w:shd w:val="clear" w:color="auto" w:fill="FFFF00"/>
          </w:tcPr>
          <w:p>
            <w:pPr>
              <w:pStyle w:val="TableParagraph"/>
              <w:spacing w:line="246" w:lineRule="exact"/>
              <w:ind w:left="197" w:right="193"/>
              <w:rPr>
                <w:b/>
                <w:sz w:val="22"/>
              </w:rPr>
            </w:pPr>
            <w:r>
              <w:rPr>
                <w:b/>
                <w:sz w:val="22"/>
              </w:rPr>
              <w:t>$1,851,584</w:t>
            </w:r>
          </w:p>
        </w:tc>
      </w:tr>
      <w:tr>
        <w:trPr>
          <w:trHeight w:val="420" w:hRule="atLeast"/>
        </w:trPr>
        <w:tc>
          <w:tcPr>
            <w:tcW w:w="4424" w:type="dxa"/>
          </w:tcPr>
          <w:p>
            <w:pPr>
              <w:pStyle w:val="TableParagraph"/>
              <w:spacing w:line="246" w:lineRule="exact"/>
              <w:ind w:left="82" w:right="83"/>
              <w:rPr>
                <w:b/>
                <w:sz w:val="22"/>
              </w:rPr>
            </w:pPr>
            <w:r>
              <w:rPr>
                <w:b/>
                <w:sz w:val="22"/>
              </w:rPr>
              <w:t>Madison Highland Prep.</w:t>
            </w:r>
          </w:p>
        </w:tc>
        <w:tc>
          <w:tcPr>
            <w:tcW w:w="1356" w:type="dxa"/>
            <w:shd w:val="clear" w:color="auto" w:fill="FFFF00"/>
          </w:tcPr>
          <w:p>
            <w:pPr>
              <w:pStyle w:val="TableParagraph"/>
              <w:spacing w:line="246" w:lineRule="exact"/>
              <w:ind w:left="103" w:right="101"/>
              <w:rPr>
                <w:b/>
                <w:sz w:val="22"/>
              </w:rPr>
            </w:pPr>
            <w:r>
              <w:rPr>
                <w:b/>
                <w:color w:val="FF0000"/>
                <w:sz w:val="22"/>
              </w:rPr>
              <w:t>-$125,257</w:t>
            </w:r>
          </w:p>
        </w:tc>
        <w:tc>
          <w:tcPr>
            <w:tcW w:w="1529" w:type="dxa"/>
            <w:shd w:val="clear" w:color="auto" w:fill="FFFF00"/>
          </w:tcPr>
          <w:p>
            <w:pPr>
              <w:pStyle w:val="TableParagraph"/>
              <w:spacing w:line="246" w:lineRule="exact"/>
              <w:ind w:left="153" w:right="151"/>
              <w:rPr>
                <w:b/>
                <w:sz w:val="22"/>
              </w:rPr>
            </w:pPr>
            <w:r>
              <w:rPr>
                <w:b/>
                <w:color w:val="FF0000"/>
                <w:sz w:val="22"/>
              </w:rPr>
              <w:t>-$213,419</w:t>
            </w:r>
          </w:p>
        </w:tc>
        <w:tc>
          <w:tcPr>
            <w:tcW w:w="1541" w:type="dxa"/>
            <w:shd w:val="clear" w:color="auto" w:fill="FFFF00"/>
          </w:tcPr>
          <w:p>
            <w:pPr>
              <w:pStyle w:val="TableParagraph"/>
              <w:spacing w:line="246" w:lineRule="exact"/>
              <w:ind w:left="197" w:right="193"/>
              <w:rPr>
                <w:b/>
                <w:sz w:val="22"/>
              </w:rPr>
            </w:pPr>
            <w:r>
              <w:rPr>
                <w:b/>
                <w:sz w:val="22"/>
              </w:rPr>
              <w:t>$88,162</w:t>
            </w:r>
          </w:p>
        </w:tc>
      </w:tr>
      <w:tr>
        <w:trPr>
          <w:trHeight w:val="440" w:hRule="atLeast"/>
        </w:trPr>
        <w:tc>
          <w:tcPr>
            <w:tcW w:w="4424" w:type="dxa"/>
          </w:tcPr>
          <w:p>
            <w:pPr>
              <w:pStyle w:val="TableParagraph"/>
              <w:spacing w:line="246" w:lineRule="exact"/>
              <w:ind w:left="83" w:right="83"/>
              <w:rPr>
                <w:b/>
                <w:sz w:val="22"/>
              </w:rPr>
            </w:pPr>
            <w:r>
              <w:rPr>
                <w:b/>
                <w:sz w:val="22"/>
              </w:rPr>
              <w:t>Vector School District, Inc.</w:t>
            </w:r>
          </w:p>
        </w:tc>
        <w:tc>
          <w:tcPr>
            <w:tcW w:w="1356" w:type="dxa"/>
            <w:shd w:val="clear" w:color="auto" w:fill="FFFF00"/>
          </w:tcPr>
          <w:p>
            <w:pPr>
              <w:pStyle w:val="TableParagraph"/>
              <w:spacing w:line="246" w:lineRule="exact"/>
              <w:ind w:left="103" w:right="101"/>
              <w:rPr>
                <w:b/>
                <w:sz w:val="22"/>
              </w:rPr>
            </w:pPr>
            <w:r>
              <w:rPr>
                <w:b/>
                <w:color w:val="FF0000"/>
                <w:sz w:val="22"/>
              </w:rPr>
              <w:t>-$178,635</w:t>
            </w:r>
          </w:p>
        </w:tc>
        <w:tc>
          <w:tcPr>
            <w:tcW w:w="1529" w:type="dxa"/>
            <w:shd w:val="clear" w:color="auto" w:fill="FFFF00"/>
          </w:tcPr>
          <w:p>
            <w:pPr>
              <w:pStyle w:val="TableParagraph"/>
              <w:spacing w:line="246" w:lineRule="exact"/>
              <w:ind w:left="153" w:right="151"/>
              <w:rPr>
                <w:b/>
                <w:sz w:val="22"/>
              </w:rPr>
            </w:pPr>
            <w:r>
              <w:rPr>
                <w:b/>
                <w:color w:val="FF0000"/>
                <w:sz w:val="22"/>
              </w:rPr>
              <w:t>-$207,990</w:t>
            </w:r>
          </w:p>
        </w:tc>
        <w:tc>
          <w:tcPr>
            <w:tcW w:w="1541" w:type="dxa"/>
          </w:tcPr>
          <w:p>
            <w:pPr>
              <w:pStyle w:val="TableParagraph"/>
              <w:spacing w:line="246" w:lineRule="exact"/>
              <w:ind w:left="197" w:right="193"/>
              <w:rPr>
                <w:b/>
                <w:sz w:val="22"/>
              </w:rPr>
            </w:pPr>
            <w:r>
              <w:rPr>
                <w:b/>
                <w:sz w:val="22"/>
              </w:rPr>
              <w:t>$29,355</w:t>
            </w:r>
          </w:p>
        </w:tc>
      </w:tr>
    </w:tbl>
    <w:p>
      <w:pPr>
        <w:spacing w:after="0" w:line="246" w:lineRule="exact"/>
        <w:rPr>
          <w:sz w:val="22"/>
        </w:rPr>
        <w:sectPr>
          <w:pgSz w:w="12240" w:h="15840"/>
          <w:pgMar w:header="740" w:footer="1002" w:top="940" w:bottom="1200" w:left="1220" w:right="1720"/>
        </w:sectPr>
      </w:pPr>
    </w:p>
    <w:p>
      <w:pPr>
        <w:pStyle w:val="BodyText"/>
        <w:rPr>
          <w:rFonts w:ascii="Times New Roman"/>
          <w:sz w:val="20"/>
        </w:rPr>
      </w:pPr>
    </w:p>
    <w:p>
      <w:pPr>
        <w:pStyle w:val="BodyText"/>
        <w:spacing w:before="2"/>
        <w:rPr>
          <w:rFonts w:ascii="Times New Roman"/>
          <w:sz w:val="22"/>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24"/>
        <w:gridCol w:w="1356"/>
        <w:gridCol w:w="1529"/>
        <w:gridCol w:w="1541"/>
      </w:tblGrid>
      <w:tr>
        <w:trPr>
          <w:trHeight w:val="420" w:hRule="atLeast"/>
        </w:trPr>
        <w:tc>
          <w:tcPr>
            <w:tcW w:w="4424" w:type="dxa"/>
          </w:tcPr>
          <w:p>
            <w:pPr>
              <w:pStyle w:val="TableParagraph"/>
              <w:spacing w:line="246" w:lineRule="exact"/>
              <w:ind w:left="80" w:right="83"/>
              <w:rPr>
                <w:b/>
                <w:sz w:val="22"/>
              </w:rPr>
            </w:pPr>
            <w:r>
              <w:rPr>
                <w:b/>
                <w:sz w:val="22"/>
              </w:rPr>
              <w:t>Premier Charter High School</w:t>
            </w:r>
          </w:p>
        </w:tc>
        <w:tc>
          <w:tcPr>
            <w:tcW w:w="1356" w:type="dxa"/>
            <w:shd w:val="clear" w:color="auto" w:fill="FFFF00"/>
          </w:tcPr>
          <w:p>
            <w:pPr>
              <w:pStyle w:val="TableParagraph"/>
              <w:spacing w:line="246" w:lineRule="exact"/>
              <w:ind w:left="101" w:right="101"/>
              <w:rPr>
                <w:b/>
                <w:sz w:val="22"/>
              </w:rPr>
            </w:pPr>
            <w:r>
              <w:rPr>
                <w:b/>
                <w:color w:val="FF0000"/>
                <w:sz w:val="22"/>
              </w:rPr>
              <w:t>-$56,834</w:t>
            </w:r>
          </w:p>
        </w:tc>
        <w:tc>
          <w:tcPr>
            <w:tcW w:w="1529" w:type="dxa"/>
            <w:shd w:val="clear" w:color="auto" w:fill="FFFF00"/>
          </w:tcPr>
          <w:p>
            <w:pPr>
              <w:pStyle w:val="TableParagraph"/>
              <w:spacing w:line="246" w:lineRule="exact"/>
              <w:ind w:left="153" w:right="151"/>
              <w:rPr>
                <w:b/>
                <w:sz w:val="22"/>
              </w:rPr>
            </w:pPr>
            <w:r>
              <w:rPr>
                <w:b/>
                <w:color w:val="FF0000"/>
                <w:sz w:val="22"/>
              </w:rPr>
              <w:t>-$184,009</w:t>
            </w:r>
          </w:p>
        </w:tc>
        <w:tc>
          <w:tcPr>
            <w:tcW w:w="1541" w:type="dxa"/>
            <w:shd w:val="clear" w:color="auto" w:fill="FFFF00"/>
          </w:tcPr>
          <w:p>
            <w:pPr>
              <w:pStyle w:val="TableParagraph"/>
              <w:spacing w:line="246" w:lineRule="exact"/>
              <w:ind w:left="195" w:right="193"/>
              <w:rPr>
                <w:b/>
                <w:sz w:val="22"/>
              </w:rPr>
            </w:pPr>
            <w:r>
              <w:rPr>
                <w:b/>
                <w:sz w:val="22"/>
              </w:rPr>
              <w:t>$127,175</w:t>
            </w:r>
          </w:p>
        </w:tc>
      </w:tr>
      <w:tr>
        <w:trPr>
          <w:trHeight w:val="440" w:hRule="atLeast"/>
        </w:trPr>
        <w:tc>
          <w:tcPr>
            <w:tcW w:w="4424" w:type="dxa"/>
          </w:tcPr>
          <w:p>
            <w:pPr>
              <w:pStyle w:val="TableParagraph"/>
              <w:spacing w:line="246" w:lineRule="exact"/>
              <w:ind w:left="81" w:right="83"/>
              <w:rPr>
                <w:b/>
                <w:sz w:val="22"/>
              </w:rPr>
            </w:pPr>
            <w:r>
              <w:rPr>
                <w:b/>
                <w:sz w:val="22"/>
              </w:rPr>
              <w:t>Desert Star Academy, Inc.</w:t>
            </w:r>
          </w:p>
        </w:tc>
        <w:tc>
          <w:tcPr>
            <w:tcW w:w="1356" w:type="dxa"/>
            <w:shd w:val="clear" w:color="auto" w:fill="FFFF00"/>
          </w:tcPr>
          <w:p>
            <w:pPr>
              <w:pStyle w:val="TableParagraph"/>
              <w:spacing w:line="246" w:lineRule="exact"/>
              <w:ind w:left="103" w:right="101"/>
              <w:rPr>
                <w:b/>
                <w:sz w:val="22"/>
              </w:rPr>
            </w:pPr>
            <w:r>
              <w:rPr>
                <w:b/>
                <w:color w:val="FF0000"/>
                <w:sz w:val="22"/>
              </w:rPr>
              <w:t>-$111,670</w:t>
            </w:r>
          </w:p>
        </w:tc>
        <w:tc>
          <w:tcPr>
            <w:tcW w:w="1529" w:type="dxa"/>
            <w:shd w:val="clear" w:color="auto" w:fill="FFFF00"/>
          </w:tcPr>
          <w:p>
            <w:pPr>
              <w:pStyle w:val="TableParagraph"/>
              <w:spacing w:line="246" w:lineRule="exact"/>
              <w:ind w:left="153" w:right="151"/>
              <w:rPr>
                <w:b/>
                <w:sz w:val="22"/>
              </w:rPr>
            </w:pPr>
            <w:r>
              <w:rPr>
                <w:b/>
                <w:color w:val="FF0000"/>
                <w:sz w:val="22"/>
              </w:rPr>
              <w:t>-$174,795</w:t>
            </w:r>
          </w:p>
        </w:tc>
        <w:tc>
          <w:tcPr>
            <w:tcW w:w="1541" w:type="dxa"/>
            <w:shd w:val="clear" w:color="auto" w:fill="FFFF00"/>
          </w:tcPr>
          <w:p>
            <w:pPr>
              <w:pStyle w:val="TableParagraph"/>
              <w:spacing w:line="246" w:lineRule="exact"/>
              <w:ind w:left="197" w:right="193"/>
              <w:rPr>
                <w:b/>
                <w:sz w:val="22"/>
              </w:rPr>
            </w:pPr>
            <w:r>
              <w:rPr>
                <w:b/>
                <w:sz w:val="22"/>
              </w:rPr>
              <w:t>$63,125</w:t>
            </w:r>
          </w:p>
        </w:tc>
      </w:tr>
      <w:tr>
        <w:trPr>
          <w:trHeight w:val="420" w:hRule="atLeast"/>
        </w:trPr>
        <w:tc>
          <w:tcPr>
            <w:tcW w:w="4424" w:type="dxa"/>
          </w:tcPr>
          <w:p>
            <w:pPr>
              <w:pStyle w:val="TableParagraph"/>
              <w:spacing w:line="246" w:lineRule="exact"/>
              <w:ind w:left="83" w:right="82"/>
              <w:rPr>
                <w:b/>
                <w:sz w:val="22"/>
              </w:rPr>
            </w:pPr>
            <w:r>
              <w:rPr>
                <w:b/>
                <w:sz w:val="22"/>
              </w:rPr>
              <w:t>Teleos Preparatory Academy</w:t>
            </w:r>
          </w:p>
        </w:tc>
        <w:tc>
          <w:tcPr>
            <w:tcW w:w="1356" w:type="dxa"/>
            <w:shd w:val="clear" w:color="auto" w:fill="FFFF00"/>
          </w:tcPr>
          <w:p>
            <w:pPr>
              <w:pStyle w:val="TableParagraph"/>
              <w:spacing w:line="246" w:lineRule="exact"/>
              <w:ind w:left="103" w:right="101"/>
              <w:rPr>
                <w:b/>
                <w:sz w:val="22"/>
              </w:rPr>
            </w:pPr>
            <w:r>
              <w:rPr>
                <w:b/>
                <w:color w:val="FF0000"/>
                <w:sz w:val="22"/>
              </w:rPr>
              <w:t>-$157,619</w:t>
            </w:r>
          </w:p>
        </w:tc>
        <w:tc>
          <w:tcPr>
            <w:tcW w:w="1529" w:type="dxa"/>
            <w:shd w:val="clear" w:color="auto" w:fill="FFFF00"/>
          </w:tcPr>
          <w:p>
            <w:pPr>
              <w:pStyle w:val="TableParagraph"/>
              <w:spacing w:line="246" w:lineRule="exact"/>
              <w:ind w:left="153" w:right="151"/>
              <w:rPr>
                <w:b/>
                <w:sz w:val="22"/>
              </w:rPr>
            </w:pPr>
            <w:r>
              <w:rPr>
                <w:b/>
                <w:color w:val="FF0000"/>
                <w:sz w:val="22"/>
              </w:rPr>
              <w:t>-$169,359</w:t>
            </w:r>
          </w:p>
        </w:tc>
        <w:tc>
          <w:tcPr>
            <w:tcW w:w="1541" w:type="dxa"/>
          </w:tcPr>
          <w:p>
            <w:pPr>
              <w:pStyle w:val="TableParagraph"/>
              <w:spacing w:line="246" w:lineRule="exact"/>
              <w:ind w:left="197" w:right="193"/>
              <w:rPr>
                <w:b/>
                <w:sz w:val="22"/>
              </w:rPr>
            </w:pPr>
            <w:r>
              <w:rPr>
                <w:b/>
                <w:sz w:val="22"/>
              </w:rPr>
              <w:t>$11,740</w:t>
            </w:r>
          </w:p>
        </w:tc>
      </w:tr>
      <w:tr>
        <w:trPr>
          <w:trHeight w:val="440" w:hRule="atLeast"/>
        </w:trPr>
        <w:tc>
          <w:tcPr>
            <w:tcW w:w="4424" w:type="dxa"/>
          </w:tcPr>
          <w:p>
            <w:pPr>
              <w:pStyle w:val="TableParagraph"/>
              <w:spacing w:line="246" w:lineRule="exact"/>
              <w:ind w:left="83" w:right="82"/>
              <w:rPr>
                <w:b/>
                <w:sz w:val="22"/>
              </w:rPr>
            </w:pPr>
            <w:r>
              <w:rPr>
                <w:b/>
                <w:sz w:val="22"/>
              </w:rPr>
              <w:t>Omega Alpha Academy</w:t>
            </w:r>
          </w:p>
        </w:tc>
        <w:tc>
          <w:tcPr>
            <w:tcW w:w="1356" w:type="dxa"/>
            <w:shd w:val="clear" w:color="auto" w:fill="FFFF00"/>
          </w:tcPr>
          <w:p>
            <w:pPr>
              <w:pStyle w:val="TableParagraph"/>
              <w:spacing w:line="246" w:lineRule="exact"/>
              <w:ind w:left="101" w:right="101"/>
              <w:rPr>
                <w:b/>
                <w:sz w:val="22"/>
              </w:rPr>
            </w:pPr>
            <w:r>
              <w:rPr>
                <w:b/>
                <w:color w:val="FF0000"/>
                <w:sz w:val="22"/>
              </w:rPr>
              <w:t>-$97,183</w:t>
            </w:r>
          </w:p>
        </w:tc>
        <w:tc>
          <w:tcPr>
            <w:tcW w:w="1529" w:type="dxa"/>
            <w:shd w:val="clear" w:color="auto" w:fill="FFFF00"/>
          </w:tcPr>
          <w:p>
            <w:pPr>
              <w:pStyle w:val="TableParagraph"/>
              <w:spacing w:line="246" w:lineRule="exact"/>
              <w:ind w:left="153" w:right="151"/>
              <w:rPr>
                <w:b/>
                <w:sz w:val="22"/>
              </w:rPr>
            </w:pPr>
            <w:r>
              <w:rPr>
                <w:b/>
                <w:color w:val="FF0000"/>
                <w:sz w:val="22"/>
              </w:rPr>
              <w:t>-$163,004</w:t>
            </w:r>
          </w:p>
        </w:tc>
        <w:tc>
          <w:tcPr>
            <w:tcW w:w="1541" w:type="dxa"/>
            <w:shd w:val="clear" w:color="auto" w:fill="FFFF00"/>
          </w:tcPr>
          <w:p>
            <w:pPr>
              <w:pStyle w:val="TableParagraph"/>
              <w:spacing w:line="246" w:lineRule="exact"/>
              <w:ind w:left="197" w:right="193"/>
              <w:rPr>
                <w:b/>
                <w:sz w:val="22"/>
              </w:rPr>
            </w:pPr>
            <w:r>
              <w:rPr>
                <w:b/>
                <w:sz w:val="22"/>
              </w:rPr>
              <w:t>$65,821</w:t>
            </w:r>
          </w:p>
        </w:tc>
      </w:tr>
      <w:tr>
        <w:trPr>
          <w:trHeight w:val="420" w:hRule="atLeast"/>
        </w:trPr>
        <w:tc>
          <w:tcPr>
            <w:tcW w:w="4424" w:type="dxa"/>
          </w:tcPr>
          <w:p>
            <w:pPr>
              <w:pStyle w:val="TableParagraph"/>
              <w:spacing w:line="246" w:lineRule="exact"/>
              <w:ind w:left="83" w:right="82"/>
              <w:rPr>
                <w:b/>
                <w:sz w:val="22"/>
              </w:rPr>
            </w:pPr>
            <w:r>
              <w:rPr>
                <w:b/>
                <w:sz w:val="22"/>
              </w:rPr>
              <w:t>PACE Preparatory Academy</w:t>
            </w:r>
          </w:p>
        </w:tc>
        <w:tc>
          <w:tcPr>
            <w:tcW w:w="1356" w:type="dxa"/>
            <w:shd w:val="clear" w:color="auto" w:fill="FFFF00"/>
          </w:tcPr>
          <w:p>
            <w:pPr>
              <w:pStyle w:val="TableParagraph"/>
              <w:spacing w:line="246" w:lineRule="exact"/>
              <w:ind w:left="103" w:right="101"/>
              <w:rPr>
                <w:b/>
                <w:sz w:val="22"/>
              </w:rPr>
            </w:pPr>
            <w:r>
              <w:rPr>
                <w:b/>
                <w:color w:val="FF0000"/>
                <w:sz w:val="22"/>
              </w:rPr>
              <w:t>-$4,564</w:t>
            </w:r>
          </w:p>
        </w:tc>
        <w:tc>
          <w:tcPr>
            <w:tcW w:w="1529" w:type="dxa"/>
            <w:shd w:val="clear" w:color="auto" w:fill="FFFF00"/>
          </w:tcPr>
          <w:p>
            <w:pPr>
              <w:pStyle w:val="TableParagraph"/>
              <w:spacing w:line="246" w:lineRule="exact"/>
              <w:ind w:left="153" w:right="151"/>
              <w:rPr>
                <w:b/>
                <w:sz w:val="22"/>
              </w:rPr>
            </w:pPr>
            <w:r>
              <w:rPr>
                <w:b/>
                <w:color w:val="FF0000"/>
                <w:sz w:val="22"/>
              </w:rPr>
              <w:t>-$150,804</w:t>
            </w:r>
          </w:p>
        </w:tc>
        <w:tc>
          <w:tcPr>
            <w:tcW w:w="1541" w:type="dxa"/>
            <w:shd w:val="clear" w:color="auto" w:fill="FFFF00"/>
          </w:tcPr>
          <w:p>
            <w:pPr>
              <w:pStyle w:val="TableParagraph"/>
              <w:spacing w:line="246" w:lineRule="exact"/>
              <w:ind w:left="195" w:right="193"/>
              <w:rPr>
                <w:b/>
                <w:sz w:val="22"/>
              </w:rPr>
            </w:pPr>
            <w:r>
              <w:rPr>
                <w:b/>
                <w:sz w:val="22"/>
              </w:rPr>
              <w:t>$146,240</w:t>
            </w:r>
          </w:p>
        </w:tc>
      </w:tr>
      <w:tr>
        <w:trPr>
          <w:trHeight w:val="440" w:hRule="atLeast"/>
        </w:trPr>
        <w:tc>
          <w:tcPr>
            <w:tcW w:w="4424" w:type="dxa"/>
          </w:tcPr>
          <w:p>
            <w:pPr>
              <w:pStyle w:val="TableParagraph"/>
              <w:spacing w:line="246" w:lineRule="exact"/>
              <w:ind w:left="82" w:right="83"/>
              <w:rPr>
                <w:b/>
                <w:sz w:val="22"/>
              </w:rPr>
            </w:pPr>
            <w:r>
              <w:rPr>
                <w:b/>
                <w:sz w:val="22"/>
              </w:rPr>
              <w:t>StrengthBuilding Partners</w:t>
            </w:r>
          </w:p>
        </w:tc>
        <w:tc>
          <w:tcPr>
            <w:tcW w:w="1356" w:type="dxa"/>
            <w:shd w:val="clear" w:color="auto" w:fill="FFFF00"/>
          </w:tcPr>
          <w:p>
            <w:pPr>
              <w:pStyle w:val="TableParagraph"/>
              <w:spacing w:line="246" w:lineRule="exact"/>
              <w:ind w:left="103" w:right="101"/>
              <w:rPr>
                <w:b/>
                <w:sz w:val="22"/>
              </w:rPr>
            </w:pPr>
            <w:r>
              <w:rPr>
                <w:b/>
                <w:color w:val="FF0000"/>
                <w:sz w:val="22"/>
              </w:rPr>
              <w:t>-$100,306</w:t>
            </w:r>
          </w:p>
        </w:tc>
        <w:tc>
          <w:tcPr>
            <w:tcW w:w="1529" w:type="dxa"/>
            <w:shd w:val="clear" w:color="auto" w:fill="FFFF00"/>
          </w:tcPr>
          <w:p>
            <w:pPr>
              <w:pStyle w:val="TableParagraph"/>
              <w:spacing w:line="246" w:lineRule="exact"/>
              <w:ind w:left="153" w:right="151"/>
              <w:rPr>
                <w:b/>
                <w:sz w:val="22"/>
              </w:rPr>
            </w:pPr>
            <w:r>
              <w:rPr>
                <w:b/>
                <w:color w:val="FF0000"/>
                <w:sz w:val="22"/>
              </w:rPr>
              <w:t>-$149,244</w:t>
            </w:r>
          </w:p>
        </w:tc>
        <w:tc>
          <w:tcPr>
            <w:tcW w:w="1541" w:type="dxa"/>
            <w:shd w:val="clear" w:color="auto" w:fill="FFFF00"/>
          </w:tcPr>
          <w:p>
            <w:pPr>
              <w:pStyle w:val="TableParagraph"/>
              <w:spacing w:line="246" w:lineRule="exact"/>
              <w:ind w:left="197" w:right="193"/>
              <w:rPr>
                <w:b/>
                <w:sz w:val="22"/>
              </w:rPr>
            </w:pPr>
            <w:r>
              <w:rPr>
                <w:b/>
                <w:sz w:val="22"/>
              </w:rPr>
              <w:t>$48,938</w:t>
            </w:r>
          </w:p>
        </w:tc>
      </w:tr>
      <w:tr>
        <w:trPr>
          <w:trHeight w:val="420" w:hRule="atLeast"/>
        </w:trPr>
        <w:tc>
          <w:tcPr>
            <w:tcW w:w="4424" w:type="dxa"/>
          </w:tcPr>
          <w:p>
            <w:pPr>
              <w:pStyle w:val="TableParagraph"/>
              <w:spacing w:line="246" w:lineRule="exact"/>
              <w:ind w:left="83" w:right="80"/>
              <w:rPr>
                <w:b/>
                <w:sz w:val="22"/>
              </w:rPr>
            </w:pPr>
            <w:r>
              <w:rPr>
                <w:b/>
                <w:sz w:val="22"/>
              </w:rPr>
              <w:t>Graysmark Schools Corporation</w:t>
            </w:r>
          </w:p>
        </w:tc>
        <w:tc>
          <w:tcPr>
            <w:tcW w:w="1356" w:type="dxa"/>
            <w:shd w:val="clear" w:color="auto" w:fill="FFFF00"/>
          </w:tcPr>
          <w:p>
            <w:pPr>
              <w:pStyle w:val="TableParagraph"/>
              <w:spacing w:line="246" w:lineRule="exact"/>
              <w:ind w:left="101" w:right="101"/>
              <w:rPr>
                <w:b/>
                <w:sz w:val="22"/>
              </w:rPr>
            </w:pPr>
            <w:r>
              <w:rPr>
                <w:b/>
                <w:color w:val="FF0000"/>
                <w:sz w:val="22"/>
              </w:rPr>
              <w:t>-$69,108</w:t>
            </w:r>
          </w:p>
        </w:tc>
        <w:tc>
          <w:tcPr>
            <w:tcW w:w="1529" w:type="dxa"/>
            <w:shd w:val="clear" w:color="auto" w:fill="FFFF00"/>
          </w:tcPr>
          <w:p>
            <w:pPr>
              <w:pStyle w:val="TableParagraph"/>
              <w:spacing w:line="246" w:lineRule="exact"/>
              <w:ind w:left="153" w:right="151"/>
              <w:rPr>
                <w:b/>
                <w:sz w:val="22"/>
              </w:rPr>
            </w:pPr>
            <w:r>
              <w:rPr>
                <w:b/>
                <w:color w:val="FF0000"/>
                <w:sz w:val="22"/>
              </w:rPr>
              <w:t>-$147,767</w:t>
            </w:r>
          </w:p>
        </w:tc>
        <w:tc>
          <w:tcPr>
            <w:tcW w:w="1541" w:type="dxa"/>
            <w:shd w:val="clear" w:color="auto" w:fill="FFFF00"/>
          </w:tcPr>
          <w:p>
            <w:pPr>
              <w:pStyle w:val="TableParagraph"/>
              <w:spacing w:line="246" w:lineRule="exact"/>
              <w:ind w:left="197" w:right="193"/>
              <w:rPr>
                <w:b/>
                <w:sz w:val="22"/>
              </w:rPr>
            </w:pPr>
            <w:r>
              <w:rPr>
                <w:b/>
                <w:sz w:val="22"/>
              </w:rPr>
              <w:t>$78,659</w:t>
            </w:r>
          </w:p>
        </w:tc>
      </w:tr>
      <w:tr>
        <w:trPr>
          <w:trHeight w:val="440" w:hRule="atLeast"/>
        </w:trPr>
        <w:tc>
          <w:tcPr>
            <w:tcW w:w="4424" w:type="dxa"/>
          </w:tcPr>
          <w:p>
            <w:pPr>
              <w:pStyle w:val="TableParagraph"/>
              <w:spacing w:line="248" w:lineRule="exact"/>
              <w:ind w:left="83" w:right="83"/>
              <w:rPr>
                <w:b/>
                <w:sz w:val="22"/>
              </w:rPr>
            </w:pPr>
            <w:r>
              <w:rPr>
                <w:b/>
                <w:sz w:val="22"/>
              </w:rPr>
              <w:t>Presidio School</w:t>
            </w:r>
          </w:p>
        </w:tc>
        <w:tc>
          <w:tcPr>
            <w:tcW w:w="1356" w:type="dxa"/>
          </w:tcPr>
          <w:p>
            <w:pPr>
              <w:pStyle w:val="TableParagraph"/>
              <w:spacing w:line="248" w:lineRule="exact"/>
              <w:ind w:left="101" w:right="101"/>
              <w:rPr>
                <w:b/>
                <w:sz w:val="22"/>
              </w:rPr>
            </w:pPr>
            <w:r>
              <w:rPr>
                <w:b/>
                <w:sz w:val="22"/>
              </w:rPr>
              <w:t>$151,548</w:t>
            </w:r>
          </w:p>
        </w:tc>
        <w:tc>
          <w:tcPr>
            <w:tcW w:w="1529" w:type="dxa"/>
            <w:shd w:val="clear" w:color="auto" w:fill="FFFF00"/>
          </w:tcPr>
          <w:p>
            <w:pPr>
              <w:pStyle w:val="TableParagraph"/>
              <w:spacing w:line="248" w:lineRule="exact"/>
              <w:ind w:left="153" w:right="151"/>
              <w:rPr>
                <w:b/>
                <w:sz w:val="22"/>
              </w:rPr>
            </w:pPr>
            <w:r>
              <w:rPr>
                <w:b/>
                <w:color w:val="FF0000"/>
                <w:sz w:val="22"/>
              </w:rPr>
              <w:t>-$145,064</w:t>
            </w:r>
          </w:p>
        </w:tc>
        <w:tc>
          <w:tcPr>
            <w:tcW w:w="1541" w:type="dxa"/>
            <w:shd w:val="clear" w:color="auto" w:fill="FFFF00"/>
          </w:tcPr>
          <w:p>
            <w:pPr>
              <w:pStyle w:val="TableParagraph"/>
              <w:spacing w:line="248" w:lineRule="exact"/>
              <w:ind w:left="195" w:right="193"/>
              <w:rPr>
                <w:b/>
                <w:sz w:val="22"/>
              </w:rPr>
            </w:pPr>
            <w:r>
              <w:rPr>
                <w:b/>
                <w:sz w:val="22"/>
              </w:rPr>
              <w:t>$296,612</w:t>
            </w:r>
          </w:p>
        </w:tc>
      </w:tr>
      <w:tr>
        <w:trPr>
          <w:trHeight w:val="420" w:hRule="atLeast"/>
        </w:trPr>
        <w:tc>
          <w:tcPr>
            <w:tcW w:w="4424" w:type="dxa"/>
          </w:tcPr>
          <w:p>
            <w:pPr>
              <w:pStyle w:val="TableParagraph"/>
              <w:spacing w:line="246" w:lineRule="exact"/>
              <w:ind w:left="81" w:right="83"/>
              <w:rPr>
                <w:b/>
                <w:sz w:val="22"/>
              </w:rPr>
            </w:pPr>
            <w:r>
              <w:rPr>
                <w:b/>
                <w:sz w:val="22"/>
              </w:rPr>
              <w:t>Concordia Charter School</w:t>
            </w:r>
          </w:p>
        </w:tc>
        <w:tc>
          <w:tcPr>
            <w:tcW w:w="1356" w:type="dxa"/>
            <w:shd w:val="clear" w:color="auto" w:fill="FFFF00"/>
          </w:tcPr>
          <w:p>
            <w:pPr>
              <w:pStyle w:val="TableParagraph"/>
              <w:spacing w:line="246" w:lineRule="exact"/>
              <w:ind w:left="103" w:right="101"/>
              <w:rPr>
                <w:b/>
                <w:sz w:val="22"/>
              </w:rPr>
            </w:pPr>
            <w:r>
              <w:rPr>
                <w:b/>
                <w:color w:val="FF0000"/>
                <w:sz w:val="22"/>
              </w:rPr>
              <w:t>-$112,766</w:t>
            </w:r>
          </w:p>
        </w:tc>
        <w:tc>
          <w:tcPr>
            <w:tcW w:w="1529" w:type="dxa"/>
            <w:shd w:val="clear" w:color="auto" w:fill="FFFF00"/>
          </w:tcPr>
          <w:p>
            <w:pPr>
              <w:pStyle w:val="TableParagraph"/>
              <w:spacing w:line="246" w:lineRule="exact"/>
              <w:ind w:left="153" w:right="151"/>
              <w:rPr>
                <w:b/>
                <w:sz w:val="22"/>
              </w:rPr>
            </w:pPr>
            <w:r>
              <w:rPr>
                <w:b/>
                <w:color w:val="FF0000"/>
                <w:sz w:val="22"/>
              </w:rPr>
              <w:t>-$141,037</w:t>
            </w:r>
          </w:p>
        </w:tc>
        <w:tc>
          <w:tcPr>
            <w:tcW w:w="1541" w:type="dxa"/>
          </w:tcPr>
          <w:p>
            <w:pPr>
              <w:pStyle w:val="TableParagraph"/>
              <w:spacing w:line="246" w:lineRule="exact"/>
              <w:ind w:left="197" w:right="193"/>
              <w:rPr>
                <w:b/>
                <w:sz w:val="22"/>
              </w:rPr>
            </w:pPr>
            <w:r>
              <w:rPr>
                <w:b/>
                <w:sz w:val="22"/>
              </w:rPr>
              <w:t>$28,271</w:t>
            </w:r>
          </w:p>
        </w:tc>
      </w:tr>
      <w:tr>
        <w:trPr>
          <w:trHeight w:val="700" w:hRule="atLeast"/>
        </w:trPr>
        <w:tc>
          <w:tcPr>
            <w:tcW w:w="4424" w:type="dxa"/>
          </w:tcPr>
          <w:p>
            <w:pPr>
              <w:pStyle w:val="TableParagraph"/>
              <w:spacing w:line="242" w:lineRule="auto"/>
              <w:ind w:left="1466" w:right="145" w:hanging="1304"/>
              <w:jc w:val="left"/>
              <w:rPr>
                <w:b/>
                <w:sz w:val="22"/>
              </w:rPr>
            </w:pPr>
            <w:r>
              <w:rPr>
                <w:b/>
                <w:sz w:val="22"/>
              </w:rPr>
              <w:t>Reid Traditional Schools' Painted Rock Academy, Inc.</w:t>
            </w:r>
          </w:p>
        </w:tc>
        <w:tc>
          <w:tcPr>
            <w:tcW w:w="1356" w:type="dxa"/>
          </w:tcPr>
          <w:p>
            <w:pPr>
              <w:pStyle w:val="TableParagraph"/>
              <w:spacing w:before="3"/>
              <w:jc w:val="left"/>
              <w:rPr>
                <w:rFonts w:ascii="Times New Roman"/>
                <w:sz w:val="21"/>
              </w:rPr>
            </w:pPr>
          </w:p>
          <w:p>
            <w:pPr>
              <w:pStyle w:val="TableParagraph"/>
              <w:ind w:left="101" w:right="101"/>
              <w:rPr>
                <w:b/>
                <w:sz w:val="22"/>
              </w:rPr>
            </w:pPr>
            <w:r>
              <w:rPr>
                <w:b/>
                <w:sz w:val="22"/>
              </w:rPr>
              <w:t>$399,358</w:t>
            </w:r>
          </w:p>
        </w:tc>
        <w:tc>
          <w:tcPr>
            <w:tcW w:w="1529" w:type="dxa"/>
            <w:shd w:val="clear" w:color="auto" w:fill="FFFF00"/>
          </w:tcPr>
          <w:p>
            <w:pPr>
              <w:pStyle w:val="TableParagraph"/>
              <w:spacing w:before="3"/>
              <w:jc w:val="left"/>
              <w:rPr>
                <w:rFonts w:ascii="Times New Roman"/>
                <w:sz w:val="21"/>
              </w:rPr>
            </w:pPr>
          </w:p>
          <w:p>
            <w:pPr>
              <w:pStyle w:val="TableParagraph"/>
              <w:ind w:left="153" w:right="151"/>
              <w:rPr>
                <w:b/>
                <w:sz w:val="22"/>
              </w:rPr>
            </w:pPr>
            <w:r>
              <w:rPr>
                <w:b/>
                <w:color w:val="FF0000"/>
                <w:sz w:val="22"/>
              </w:rPr>
              <w:t>-$139,804</w:t>
            </w:r>
          </w:p>
        </w:tc>
        <w:tc>
          <w:tcPr>
            <w:tcW w:w="1541" w:type="dxa"/>
            <w:shd w:val="clear" w:color="auto" w:fill="FFFF00"/>
          </w:tcPr>
          <w:p>
            <w:pPr>
              <w:pStyle w:val="TableParagraph"/>
              <w:spacing w:before="3"/>
              <w:jc w:val="left"/>
              <w:rPr>
                <w:rFonts w:ascii="Times New Roman"/>
                <w:sz w:val="21"/>
              </w:rPr>
            </w:pPr>
          </w:p>
          <w:p>
            <w:pPr>
              <w:pStyle w:val="TableParagraph"/>
              <w:ind w:left="195" w:right="193"/>
              <w:rPr>
                <w:b/>
                <w:sz w:val="22"/>
              </w:rPr>
            </w:pPr>
            <w:r>
              <w:rPr>
                <w:b/>
                <w:sz w:val="22"/>
              </w:rPr>
              <w:t>$539,162</w:t>
            </w:r>
          </w:p>
        </w:tc>
      </w:tr>
      <w:tr>
        <w:trPr>
          <w:trHeight w:val="420" w:hRule="atLeast"/>
        </w:trPr>
        <w:tc>
          <w:tcPr>
            <w:tcW w:w="4424" w:type="dxa"/>
          </w:tcPr>
          <w:p>
            <w:pPr>
              <w:pStyle w:val="TableParagraph"/>
              <w:spacing w:line="248" w:lineRule="exact"/>
              <w:ind w:left="82" w:right="83"/>
              <w:rPr>
                <w:b/>
                <w:sz w:val="22"/>
              </w:rPr>
            </w:pPr>
            <w:r>
              <w:rPr>
                <w:b/>
                <w:sz w:val="22"/>
              </w:rPr>
              <w:t>Success School</w:t>
            </w:r>
          </w:p>
        </w:tc>
        <w:tc>
          <w:tcPr>
            <w:tcW w:w="1356" w:type="dxa"/>
          </w:tcPr>
          <w:p>
            <w:pPr>
              <w:pStyle w:val="TableParagraph"/>
              <w:spacing w:line="248" w:lineRule="exact"/>
              <w:ind w:left="101" w:right="101"/>
              <w:rPr>
                <w:b/>
                <w:sz w:val="22"/>
              </w:rPr>
            </w:pPr>
            <w:r>
              <w:rPr>
                <w:b/>
                <w:sz w:val="22"/>
              </w:rPr>
              <w:t>$690,960</w:t>
            </w:r>
          </w:p>
        </w:tc>
        <w:tc>
          <w:tcPr>
            <w:tcW w:w="1529" w:type="dxa"/>
            <w:shd w:val="clear" w:color="auto" w:fill="FFFF00"/>
          </w:tcPr>
          <w:p>
            <w:pPr>
              <w:pStyle w:val="TableParagraph"/>
              <w:spacing w:line="248" w:lineRule="exact"/>
              <w:ind w:left="153" w:right="151"/>
              <w:rPr>
                <w:b/>
                <w:sz w:val="22"/>
              </w:rPr>
            </w:pPr>
            <w:r>
              <w:rPr>
                <w:b/>
                <w:color w:val="FF0000"/>
                <w:sz w:val="22"/>
              </w:rPr>
              <w:t>-$138,789</w:t>
            </w:r>
          </w:p>
        </w:tc>
        <w:tc>
          <w:tcPr>
            <w:tcW w:w="1541" w:type="dxa"/>
            <w:shd w:val="clear" w:color="auto" w:fill="FFFF00"/>
          </w:tcPr>
          <w:p>
            <w:pPr>
              <w:pStyle w:val="TableParagraph"/>
              <w:spacing w:line="248" w:lineRule="exact"/>
              <w:ind w:left="195" w:right="193"/>
              <w:rPr>
                <w:b/>
                <w:sz w:val="22"/>
              </w:rPr>
            </w:pPr>
            <w:r>
              <w:rPr>
                <w:b/>
                <w:sz w:val="22"/>
              </w:rPr>
              <w:t>$829,749</w:t>
            </w:r>
          </w:p>
        </w:tc>
      </w:tr>
      <w:tr>
        <w:trPr>
          <w:trHeight w:val="440" w:hRule="atLeast"/>
        </w:trPr>
        <w:tc>
          <w:tcPr>
            <w:tcW w:w="4424" w:type="dxa"/>
          </w:tcPr>
          <w:p>
            <w:pPr>
              <w:pStyle w:val="TableParagraph"/>
              <w:spacing w:line="250" w:lineRule="exact"/>
              <w:ind w:left="82" w:right="83"/>
              <w:rPr>
                <w:b/>
                <w:sz w:val="22"/>
              </w:rPr>
            </w:pPr>
            <w:r>
              <w:rPr>
                <w:b/>
                <w:sz w:val="22"/>
              </w:rPr>
              <w:t>Pima Prevention Partnership</w:t>
            </w:r>
          </w:p>
        </w:tc>
        <w:tc>
          <w:tcPr>
            <w:tcW w:w="1356" w:type="dxa"/>
          </w:tcPr>
          <w:p>
            <w:pPr>
              <w:pStyle w:val="TableParagraph"/>
              <w:spacing w:line="250" w:lineRule="exact"/>
              <w:ind w:left="101" w:right="101"/>
              <w:rPr>
                <w:b/>
                <w:sz w:val="22"/>
              </w:rPr>
            </w:pPr>
            <w:r>
              <w:rPr>
                <w:b/>
                <w:sz w:val="22"/>
              </w:rPr>
              <w:t>$295,865</w:t>
            </w:r>
          </w:p>
        </w:tc>
        <w:tc>
          <w:tcPr>
            <w:tcW w:w="1529" w:type="dxa"/>
            <w:shd w:val="clear" w:color="auto" w:fill="FFFF00"/>
          </w:tcPr>
          <w:p>
            <w:pPr>
              <w:pStyle w:val="TableParagraph"/>
              <w:spacing w:line="250" w:lineRule="exact"/>
              <w:ind w:left="153" w:right="151"/>
              <w:rPr>
                <w:b/>
                <w:sz w:val="22"/>
              </w:rPr>
            </w:pPr>
            <w:r>
              <w:rPr>
                <w:b/>
                <w:color w:val="FF0000"/>
                <w:sz w:val="22"/>
              </w:rPr>
              <w:t>-$134,608</w:t>
            </w:r>
          </w:p>
        </w:tc>
        <w:tc>
          <w:tcPr>
            <w:tcW w:w="1541" w:type="dxa"/>
            <w:shd w:val="clear" w:color="auto" w:fill="FFFF00"/>
          </w:tcPr>
          <w:p>
            <w:pPr>
              <w:pStyle w:val="TableParagraph"/>
              <w:spacing w:line="250" w:lineRule="exact"/>
              <w:ind w:left="195" w:right="193"/>
              <w:rPr>
                <w:b/>
                <w:sz w:val="22"/>
              </w:rPr>
            </w:pPr>
            <w:r>
              <w:rPr>
                <w:b/>
                <w:sz w:val="22"/>
              </w:rPr>
              <w:t>$430,473</w:t>
            </w:r>
          </w:p>
        </w:tc>
      </w:tr>
      <w:tr>
        <w:trPr>
          <w:trHeight w:val="420" w:hRule="atLeast"/>
        </w:trPr>
        <w:tc>
          <w:tcPr>
            <w:tcW w:w="4424" w:type="dxa"/>
          </w:tcPr>
          <w:p>
            <w:pPr>
              <w:pStyle w:val="TableParagraph"/>
              <w:spacing w:line="246" w:lineRule="exact"/>
              <w:ind w:left="83" w:right="83"/>
              <w:rPr>
                <w:b/>
                <w:sz w:val="22"/>
              </w:rPr>
            </w:pPr>
            <w:r>
              <w:rPr>
                <w:b/>
                <w:sz w:val="22"/>
              </w:rPr>
              <w:t>Genesis Program, Inc.</w:t>
            </w:r>
          </w:p>
        </w:tc>
        <w:tc>
          <w:tcPr>
            <w:tcW w:w="1356" w:type="dxa"/>
          </w:tcPr>
          <w:p>
            <w:pPr>
              <w:pStyle w:val="TableParagraph"/>
              <w:spacing w:line="246" w:lineRule="exact"/>
              <w:ind w:left="103" w:right="101"/>
              <w:rPr>
                <w:b/>
                <w:sz w:val="22"/>
              </w:rPr>
            </w:pPr>
            <w:r>
              <w:rPr>
                <w:b/>
                <w:sz w:val="22"/>
              </w:rPr>
              <w:t>$98,565</w:t>
            </w:r>
          </w:p>
        </w:tc>
        <w:tc>
          <w:tcPr>
            <w:tcW w:w="1529" w:type="dxa"/>
            <w:shd w:val="clear" w:color="auto" w:fill="FFFF00"/>
          </w:tcPr>
          <w:p>
            <w:pPr>
              <w:pStyle w:val="TableParagraph"/>
              <w:spacing w:line="246" w:lineRule="exact"/>
              <w:ind w:left="153" w:right="151"/>
              <w:rPr>
                <w:b/>
                <w:sz w:val="22"/>
              </w:rPr>
            </w:pPr>
            <w:r>
              <w:rPr>
                <w:b/>
                <w:color w:val="FF0000"/>
                <w:sz w:val="22"/>
              </w:rPr>
              <w:t>-$125,094</w:t>
            </w:r>
          </w:p>
        </w:tc>
        <w:tc>
          <w:tcPr>
            <w:tcW w:w="1541" w:type="dxa"/>
            <w:shd w:val="clear" w:color="auto" w:fill="FFFF00"/>
          </w:tcPr>
          <w:p>
            <w:pPr>
              <w:pStyle w:val="TableParagraph"/>
              <w:spacing w:line="246" w:lineRule="exact"/>
              <w:ind w:left="195" w:right="193"/>
              <w:rPr>
                <w:b/>
                <w:sz w:val="22"/>
              </w:rPr>
            </w:pPr>
            <w:r>
              <w:rPr>
                <w:b/>
                <w:sz w:val="22"/>
              </w:rPr>
              <w:t>$223,659</w:t>
            </w:r>
          </w:p>
        </w:tc>
      </w:tr>
      <w:tr>
        <w:trPr>
          <w:trHeight w:val="700" w:hRule="atLeast"/>
        </w:trPr>
        <w:tc>
          <w:tcPr>
            <w:tcW w:w="4424" w:type="dxa"/>
          </w:tcPr>
          <w:p>
            <w:pPr>
              <w:pStyle w:val="TableParagraph"/>
              <w:spacing w:line="242" w:lineRule="auto"/>
              <w:ind w:left="1332" w:right="303" w:hanging="1018"/>
              <w:jc w:val="left"/>
              <w:rPr>
                <w:b/>
                <w:sz w:val="22"/>
              </w:rPr>
            </w:pPr>
            <w:r>
              <w:rPr>
                <w:b/>
                <w:sz w:val="22"/>
              </w:rPr>
              <w:t>Valley of the Sun Waldorf Education Association, Inc.</w:t>
            </w:r>
          </w:p>
        </w:tc>
        <w:tc>
          <w:tcPr>
            <w:tcW w:w="1356" w:type="dxa"/>
          </w:tcPr>
          <w:p>
            <w:pPr>
              <w:pStyle w:val="TableParagraph"/>
              <w:spacing w:before="3"/>
              <w:jc w:val="left"/>
              <w:rPr>
                <w:rFonts w:ascii="Times New Roman"/>
                <w:sz w:val="21"/>
              </w:rPr>
            </w:pPr>
          </w:p>
          <w:p>
            <w:pPr>
              <w:pStyle w:val="TableParagraph"/>
              <w:ind w:left="101" w:right="101"/>
              <w:rPr>
                <w:b/>
                <w:sz w:val="22"/>
              </w:rPr>
            </w:pPr>
            <w:r>
              <w:rPr>
                <w:b/>
                <w:sz w:val="22"/>
              </w:rPr>
              <w:t>$186,524</w:t>
            </w:r>
          </w:p>
        </w:tc>
        <w:tc>
          <w:tcPr>
            <w:tcW w:w="1529" w:type="dxa"/>
            <w:shd w:val="clear" w:color="auto" w:fill="FFFF00"/>
          </w:tcPr>
          <w:p>
            <w:pPr>
              <w:pStyle w:val="TableParagraph"/>
              <w:spacing w:before="3"/>
              <w:jc w:val="left"/>
              <w:rPr>
                <w:rFonts w:ascii="Times New Roman"/>
                <w:sz w:val="21"/>
              </w:rPr>
            </w:pPr>
          </w:p>
          <w:p>
            <w:pPr>
              <w:pStyle w:val="TableParagraph"/>
              <w:ind w:left="153" w:right="151"/>
              <w:rPr>
                <w:b/>
                <w:sz w:val="22"/>
              </w:rPr>
            </w:pPr>
            <w:r>
              <w:rPr>
                <w:b/>
                <w:color w:val="FF0000"/>
                <w:sz w:val="22"/>
              </w:rPr>
              <w:t>-$124,396</w:t>
            </w:r>
          </w:p>
        </w:tc>
        <w:tc>
          <w:tcPr>
            <w:tcW w:w="1541" w:type="dxa"/>
            <w:shd w:val="clear" w:color="auto" w:fill="FFFF00"/>
          </w:tcPr>
          <w:p>
            <w:pPr>
              <w:pStyle w:val="TableParagraph"/>
              <w:spacing w:before="3"/>
              <w:jc w:val="left"/>
              <w:rPr>
                <w:rFonts w:ascii="Times New Roman"/>
                <w:sz w:val="21"/>
              </w:rPr>
            </w:pPr>
          </w:p>
          <w:p>
            <w:pPr>
              <w:pStyle w:val="TableParagraph"/>
              <w:ind w:left="195" w:right="193"/>
              <w:rPr>
                <w:b/>
                <w:sz w:val="22"/>
              </w:rPr>
            </w:pPr>
            <w:r>
              <w:rPr>
                <w:b/>
                <w:sz w:val="22"/>
              </w:rPr>
              <w:t>$310,920</w:t>
            </w:r>
          </w:p>
        </w:tc>
      </w:tr>
      <w:tr>
        <w:trPr>
          <w:trHeight w:val="440" w:hRule="atLeast"/>
        </w:trPr>
        <w:tc>
          <w:tcPr>
            <w:tcW w:w="4424" w:type="dxa"/>
          </w:tcPr>
          <w:p>
            <w:pPr>
              <w:pStyle w:val="TableParagraph"/>
              <w:spacing w:line="246" w:lineRule="exact"/>
              <w:ind w:left="82" w:right="83"/>
              <w:rPr>
                <w:b/>
                <w:sz w:val="22"/>
              </w:rPr>
            </w:pPr>
            <w:r>
              <w:rPr>
                <w:b/>
                <w:sz w:val="22"/>
              </w:rPr>
              <w:t>Flagstaff Montessori, L.L.C.</w:t>
            </w:r>
          </w:p>
        </w:tc>
        <w:tc>
          <w:tcPr>
            <w:tcW w:w="1356" w:type="dxa"/>
            <w:shd w:val="clear" w:color="auto" w:fill="FFFF00"/>
          </w:tcPr>
          <w:p>
            <w:pPr>
              <w:pStyle w:val="TableParagraph"/>
              <w:spacing w:line="246" w:lineRule="exact"/>
              <w:ind w:left="101" w:right="101"/>
              <w:rPr>
                <w:b/>
                <w:sz w:val="22"/>
              </w:rPr>
            </w:pPr>
            <w:r>
              <w:rPr>
                <w:b/>
                <w:color w:val="FF0000"/>
                <w:sz w:val="22"/>
              </w:rPr>
              <w:t>-$68,270</w:t>
            </w:r>
          </w:p>
        </w:tc>
        <w:tc>
          <w:tcPr>
            <w:tcW w:w="1529" w:type="dxa"/>
            <w:shd w:val="clear" w:color="auto" w:fill="FFFF00"/>
          </w:tcPr>
          <w:p>
            <w:pPr>
              <w:pStyle w:val="TableParagraph"/>
              <w:spacing w:line="246" w:lineRule="exact"/>
              <w:ind w:left="153" w:right="151"/>
              <w:rPr>
                <w:b/>
                <w:sz w:val="22"/>
              </w:rPr>
            </w:pPr>
            <w:r>
              <w:rPr>
                <w:b/>
                <w:color w:val="FF0000"/>
                <w:sz w:val="22"/>
              </w:rPr>
              <w:t>-$121,187</w:t>
            </w:r>
          </w:p>
        </w:tc>
        <w:tc>
          <w:tcPr>
            <w:tcW w:w="1541" w:type="dxa"/>
          </w:tcPr>
          <w:p>
            <w:pPr>
              <w:pStyle w:val="TableParagraph"/>
              <w:spacing w:line="246" w:lineRule="exact"/>
              <w:ind w:left="197" w:right="193"/>
              <w:rPr>
                <w:b/>
                <w:sz w:val="22"/>
              </w:rPr>
            </w:pPr>
            <w:r>
              <w:rPr>
                <w:b/>
                <w:sz w:val="22"/>
              </w:rPr>
              <w:t>$52,917</w:t>
            </w:r>
          </w:p>
        </w:tc>
      </w:tr>
      <w:tr>
        <w:trPr>
          <w:trHeight w:val="700" w:hRule="atLeast"/>
        </w:trPr>
        <w:tc>
          <w:tcPr>
            <w:tcW w:w="4424" w:type="dxa"/>
          </w:tcPr>
          <w:p>
            <w:pPr>
              <w:pStyle w:val="TableParagraph"/>
              <w:ind w:left="1687" w:right="524" w:hanging="1155"/>
              <w:jc w:val="left"/>
              <w:rPr>
                <w:b/>
                <w:sz w:val="22"/>
              </w:rPr>
            </w:pPr>
            <w:r>
              <w:rPr>
                <w:b/>
                <w:sz w:val="22"/>
              </w:rPr>
              <w:t>Montessori Day Public Schools, Chartered</w:t>
            </w:r>
          </w:p>
        </w:tc>
        <w:tc>
          <w:tcPr>
            <w:tcW w:w="1356" w:type="dxa"/>
            <w:shd w:val="clear" w:color="auto" w:fill="FFFF00"/>
          </w:tcPr>
          <w:p>
            <w:pPr>
              <w:pStyle w:val="TableParagraph"/>
              <w:jc w:val="left"/>
              <w:rPr>
                <w:rFonts w:ascii="Times New Roman"/>
                <w:sz w:val="21"/>
              </w:rPr>
            </w:pPr>
          </w:p>
          <w:p>
            <w:pPr>
              <w:pStyle w:val="TableParagraph"/>
              <w:ind w:left="103" w:right="101"/>
              <w:rPr>
                <w:b/>
                <w:sz w:val="22"/>
              </w:rPr>
            </w:pPr>
            <w:r>
              <w:rPr>
                <w:b/>
                <w:color w:val="FF0000"/>
                <w:sz w:val="22"/>
              </w:rPr>
              <w:t>-$248,589</w:t>
            </w:r>
          </w:p>
        </w:tc>
        <w:tc>
          <w:tcPr>
            <w:tcW w:w="1529" w:type="dxa"/>
            <w:shd w:val="clear" w:color="auto" w:fill="FFFF00"/>
          </w:tcPr>
          <w:p>
            <w:pPr>
              <w:pStyle w:val="TableParagraph"/>
              <w:jc w:val="left"/>
              <w:rPr>
                <w:rFonts w:ascii="Times New Roman"/>
                <w:sz w:val="21"/>
              </w:rPr>
            </w:pPr>
          </w:p>
          <w:p>
            <w:pPr>
              <w:pStyle w:val="TableParagraph"/>
              <w:ind w:left="153" w:right="151"/>
              <w:rPr>
                <w:b/>
                <w:sz w:val="22"/>
              </w:rPr>
            </w:pPr>
            <w:r>
              <w:rPr>
                <w:b/>
                <w:color w:val="FF0000"/>
                <w:sz w:val="22"/>
              </w:rPr>
              <w:t>-$113,877</w:t>
            </w:r>
          </w:p>
        </w:tc>
        <w:tc>
          <w:tcPr>
            <w:tcW w:w="1541" w:type="dxa"/>
            <w:shd w:val="clear" w:color="auto" w:fill="FFFF00"/>
          </w:tcPr>
          <w:p>
            <w:pPr>
              <w:pStyle w:val="TableParagraph"/>
              <w:jc w:val="left"/>
              <w:rPr>
                <w:rFonts w:ascii="Times New Roman"/>
                <w:sz w:val="21"/>
              </w:rPr>
            </w:pPr>
          </w:p>
          <w:p>
            <w:pPr>
              <w:pStyle w:val="TableParagraph"/>
              <w:ind w:left="195" w:right="193"/>
              <w:rPr>
                <w:b/>
                <w:sz w:val="22"/>
              </w:rPr>
            </w:pPr>
            <w:r>
              <w:rPr>
                <w:b/>
                <w:sz w:val="22"/>
              </w:rPr>
              <w:t>$134,712</w:t>
            </w:r>
          </w:p>
        </w:tc>
      </w:tr>
      <w:tr>
        <w:trPr>
          <w:trHeight w:val="420" w:hRule="atLeast"/>
        </w:trPr>
        <w:tc>
          <w:tcPr>
            <w:tcW w:w="4424" w:type="dxa"/>
          </w:tcPr>
          <w:p>
            <w:pPr>
              <w:pStyle w:val="TableParagraph"/>
              <w:spacing w:line="246" w:lineRule="exact"/>
              <w:ind w:left="82" w:right="83"/>
              <w:rPr>
                <w:b/>
                <w:sz w:val="22"/>
              </w:rPr>
            </w:pPr>
            <w:r>
              <w:rPr>
                <w:b/>
                <w:sz w:val="22"/>
              </w:rPr>
              <w:t>Pointe Educational Services</w:t>
            </w:r>
          </w:p>
        </w:tc>
        <w:tc>
          <w:tcPr>
            <w:tcW w:w="1356" w:type="dxa"/>
          </w:tcPr>
          <w:p>
            <w:pPr>
              <w:pStyle w:val="TableParagraph"/>
              <w:spacing w:line="246" w:lineRule="exact"/>
              <w:ind w:left="101" w:right="101"/>
              <w:rPr>
                <w:b/>
                <w:sz w:val="22"/>
              </w:rPr>
            </w:pPr>
            <w:r>
              <w:rPr>
                <w:b/>
                <w:sz w:val="22"/>
              </w:rPr>
              <w:t>$709,790</w:t>
            </w:r>
          </w:p>
        </w:tc>
        <w:tc>
          <w:tcPr>
            <w:tcW w:w="1529" w:type="dxa"/>
            <w:shd w:val="clear" w:color="auto" w:fill="FFFF00"/>
          </w:tcPr>
          <w:p>
            <w:pPr>
              <w:pStyle w:val="TableParagraph"/>
              <w:spacing w:line="246" w:lineRule="exact"/>
              <w:ind w:left="153" w:right="151"/>
              <w:rPr>
                <w:b/>
                <w:sz w:val="22"/>
              </w:rPr>
            </w:pPr>
            <w:r>
              <w:rPr>
                <w:b/>
                <w:color w:val="FF0000"/>
                <w:sz w:val="22"/>
              </w:rPr>
              <w:t>-$105,717</w:t>
            </w:r>
          </w:p>
        </w:tc>
        <w:tc>
          <w:tcPr>
            <w:tcW w:w="1541" w:type="dxa"/>
            <w:shd w:val="clear" w:color="auto" w:fill="FFFF00"/>
          </w:tcPr>
          <w:p>
            <w:pPr>
              <w:pStyle w:val="TableParagraph"/>
              <w:spacing w:line="246" w:lineRule="exact"/>
              <w:ind w:left="195" w:right="193"/>
              <w:rPr>
                <w:b/>
                <w:sz w:val="22"/>
              </w:rPr>
            </w:pPr>
            <w:r>
              <w:rPr>
                <w:b/>
                <w:sz w:val="22"/>
              </w:rPr>
              <w:t>$815,507</w:t>
            </w:r>
          </w:p>
        </w:tc>
      </w:tr>
      <w:tr>
        <w:trPr>
          <w:trHeight w:val="440" w:hRule="atLeast"/>
        </w:trPr>
        <w:tc>
          <w:tcPr>
            <w:tcW w:w="4424" w:type="dxa"/>
          </w:tcPr>
          <w:p>
            <w:pPr>
              <w:pStyle w:val="TableParagraph"/>
              <w:spacing w:line="246" w:lineRule="exact"/>
              <w:ind w:left="80" w:right="83"/>
              <w:rPr>
                <w:b/>
                <w:sz w:val="22"/>
              </w:rPr>
            </w:pPr>
            <w:r>
              <w:rPr>
                <w:b/>
                <w:sz w:val="22"/>
              </w:rPr>
              <w:t>Arizona School for the Arts</w:t>
            </w:r>
          </w:p>
        </w:tc>
        <w:tc>
          <w:tcPr>
            <w:tcW w:w="1356" w:type="dxa"/>
          </w:tcPr>
          <w:p>
            <w:pPr>
              <w:pStyle w:val="TableParagraph"/>
              <w:spacing w:line="246" w:lineRule="exact"/>
              <w:ind w:left="101" w:right="101"/>
              <w:rPr>
                <w:b/>
                <w:sz w:val="22"/>
              </w:rPr>
            </w:pPr>
            <w:r>
              <w:rPr>
                <w:b/>
                <w:sz w:val="22"/>
              </w:rPr>
              <w:t>$362,907</w:t>
            </w:r>
          </w:p>
        </w:tc>
        <w:tc>
          <w:tcPr>
            <w:tcW w:w="1529" w:type="dxa"/>
            <w:shd w:val="clear" w:color="auto" w:fill="FFFF00"/>
          </w:tcPr>
          <w:p>
            <w:pPr>
              <w:pStyle w:val="TableParagraph"/>
              <w:spacing w:line="246" w:lineRule="exact"/>
              <w:ind w:left="153" w:right="151"/>
              <w:rPr>
                <w:b/>
                <w:sz w:val="22"/>
              </w:rPr>
            </w:pPr>
            <w:r>
              <w:rPr>
                <w:b/>
                <w:color w:val="FF0000"/>
                <w:sz w:val="22"/>
              </w:rPr>
              <w:t>-$105,428</w:t>
            </w:r>
          </w:p>
        </w:tc>
        <w:tc>
          <w:tcPr>
            <w:tcW w:w="1541" w:type="dxa"/>
            <w:shd w:val="clear" w:color="auto" w:fill="FFFF00"/>
          </w:tcPr>
          <w:p>
            <w:pPr>
              <w:pStyle w:val="TableParagraph"/>
              <w:spacing w:line="246" w:lineRule="exact"/>
              <w:ind w:left="195" w:right="193"/>
              <w:rPr>
                <w:b/>
                <w:sz w:val="22"/>
              </w:rPr>
            </w:pPr>
            <w:r>
              <w:rPr>
                <w:b/>
                <w:sz w:val="22"/>
              </w:rPr>
              <w:t>$468,335</w:t>
            </w:r>
          </w:p>
        </w:tc>
      </w:tr>
      <w:tr>
        <w:trPr>
          <w:trHeight w:val="680" w:hRule="atLeast"/>
        </w:trPr>
        <w:tc>
          <w:tcPr>
            <w:tcW w:w="4424" w:type="dxa"/>
          </w:tcPr>
          <w:p>
            <w:pPr>
              <w:pStyle w:val="TableParagraph"/>
              <w:ind w:left="1466" w:right="450" w:hanging="994"/>
              <w:jc w:val="left"/>
              <w:rPr>
                <w:b/>
                <w:sz w:val="22"/>
              </w:rPr>
            </w:pPr>
            <w:r>
              <w:rPr>
                <w:b/>
                <w:sz w:val="22"/>
              </w:rPr>
              <w:t>West Valley Arts and Technology Academy, Inc.</w:t>
            </w:r>
          </w:p>
        </w:tc>
        <w:tc>
          <w:tcPr>
            <w:tcW w:w="1356" w:type="dxa"/>
          </w:tcPr>
          <w:p>
            <w:pPr>
              <w:pStyle w:val="TableParagraph"/>
              <w:spacing w:before="9"/>
              <w:jc w:val="left"/>
              <w:rPr>
                <w:rFonts w:ascii="Times New Roman"/>
                <w:sz w:val="20"/>
              </w:rPr>
            </w:pPr>
          </w:p>
          <w:p>
            <w:pPr>
              <w:pStyle w:val="TableParagraph"/>
              <w:spacing w:before="1"/>
              <w:ind w:left="101" w:right="101"/>
              <w:rPr>
                <w:b/>
                <w:sz w:val="22"/>
              </w:rPr>
            </w:pPr>
            <w:r>
              <w:rPr>
                <w:b/>
                <w:sz w:val="22"/>
              </w:rPr>
              <w:t>$315,659</w:t>
            </w:r>
          </w:p>
        </w:tc>
        <w:tc>
          <w:tcPr>
            <w:tcW w:w="1529" w:type="dxa"/>
            <w:shd w:val="clear" w:color="auto" w:fill="FFFF00"/>
          </w:tcPr>
          <w:p>
            <w:pPr>
              <w:pStyle w:val="TableParagraph"/>
              <w:spacing w:before="9"/>
              <w:jc w:val="left"/>
              <w:rPr>
                <w:rFonts w:ascii="Times New Roman"/>
                <w:sz w:val="20"/>
              </w:rPr>
            </w:pPr>
          </w:p>
          <w:p>
            <w:pPr>
              <w:pStyle w:val="TableParagraph"/>
              <w:spacing w:before="1"/>
              <w:ind w:left="153" w:right="151"/>
              <w:rPr>
                <w:b/>
                <w:sz w:val="22"/>
              </w:rPr>
            </w:pPr>
            <w:r>
              <w:rPr>
                <w:b/>
                <w:color w:val="FF0000"/>
                <w:sz w:val="22"/>
              </w:rPr>
              <w:t>-$104,261</w:t>
            </w:r>
          </w:p>
        </w:tc>
        <w:tc>
          <w:tcPr>
            <w:tcW w:w="1541" w:type="dxa"/>
            <w:shd w:val="clear" w:color="auto" w:fill="FFFF00"/>
          </w:tcPr>
          <w:p>
            <w:pPr>
              <w:pStyle w:val="TableParagraph"/>
              <w:spacing w:before="9"/>
              <w:jc w:val="left"/>
              <w:rPr>
                <w:rFonts w:ascii="Times New Roman"/>
                <w:sz w:val="20"/>
              </w:rPr>
            </w:pPr>
          </w:p>
          <w:p>
            <w:pPr>
              <w:pStyle w:val="TableParagraph"/>
              <w:spacing w:before="1"/>
              <w:ind w:left="195" w:right="193"/>
              <w:rPr>
                <w:b/>
                <w:sz w:val="22"/>
              </w:rPr>
            </w:pPr>
            <w:r>
              <w:rPr>
                <w:b/>
                <w:sz w:val="22"/>
              </w:rPr>
              <w:t>$419,920</w:t>
            </w:r>
          </w:p>
        </w:tc>
      </w:tr>
      <w:tr>
        <w:trPr>
          <w:trHeight w:val="440" w:hRule="atLeast"/>
        </w:trPr>
        <w:tc>
          <w:tcPr>
            <w:tcW w:w="4424" w:type="dxa"/>
          </w:tcPr>
          <w:p>
            <w:pPr>
              <w:pStyle w:val="TableParagraph"/>
              <w:spacing w:line="248" w:lineRule="exact"/>
              <w:ind w:left="83" w:right="83"/>
              <w:rPr>
                <w:b/>
                <w:sz w:val="22"/>
              </w:rPr>
            </w:pPr>
            <w:r>
              <w:rPr>
                <w:b/>
                <w:sz w:val="22"/>
              </w:rPr>
              <w:t>Academy with Community Partners, Inc.</w:t>
            </w:r>
          </w:p>
        </w:tc>
        <w:tc>
          <w:tcPr>
            <w:tcW w:w="1356" w:type="dxa"/>
            <w:shd w:val="clear" w:color="auto" w:fill="FFFF00"/>
          </w:tcPr>
          <w:p>
            <w:pPr>
              <w:pStyle w:val="TableParagraph"/>
              <w:spacing w:line="248" w:lineRule="exact"/>
              <w:ind w:left="101" w:right="101"/>
              <w:rPr>
                <w:b/>
                <w:sz w:val="22"/>
              </w:rPr>
            </w:pPr>
            <w:r>
              <w:rPr>
                <w:b/>
                <w:color w:val="FF0000"/>
                <w:sz w:val="22"/>
              </w:rPr>
              <w:t>-$72,628</w:t>
            </w:r>
          </w:p>
        </w:tc>
        <w:tc>
          <w:tcPr>
            <w:tcW w:w="1529" w:type="dxa"/>
            <w:shd w:val="clear" w:color="auto" w:fill="FFFF00"/>
          </w:tcPr>
          <w:p>
            <w:pPr>
              <w:pStyle w:val="TableParagraph"/>
              <w:spacing w:line="248" w:lineRule="exact"/>
              <w:ind w:left="153" w:right="151"/>
              <w:rPr>
                <w:b/>
                <w:sz w:val="22"/>
              </w:rPr>
            </w:pPr>
            <w:r>
              <w:rPr>
                <w:b/>
                <w:color w:val="FF0000"/>
                <w:sz w:val="22"/>
              </w:rPr>
              <w:t>-$102,273</w:t>
            </w:r>
          </w:p>
        </w:tc>
        <w:tc>
          <w:tcPr>
            <w:tcW w:w="1541" w:type="dxa"/>
          </w:tcPr>
          <w:p>
            <w:pPr>
              <w:pStyle w:val="TableParagraph"/>
              <w:spacing w:line="248" w:lineRule="exact"/>
              <w:ind w:left="197" w:right="193"/>
              <w:rPr>
                <w:b/>
                <w:sz w:val="22"/>
              </w:rPr>
            </w:pPr>
            <w:r>
              <w:rPr>
                <w:b/>
                <w:sz w:val="22"/>
              </w:rPr>
              <w:t>$29,645</w:t>
            </w:r>
          </w:p>
        </w:tc>
      </w:tr>
      <w:tr>
        <w:trPr>
          <w:trHeight w:val="440" w:hRule="atLeast"/>
        </w:trPr>
        <w:tc>
          <w:tcPr>
            <w:tcW w:w="4424" w:type="dxa"/>
          </w:tcPr>
          <w:p>
            <w:pPr>
              <w:pStyle w:val="TableParagraph"/>
              <w:spacing w:line="246" w:lineRule="exact"/>
              <w:ind w:left="82" w:right="83"/>
              <w:rPr>
                <w:b/>
                <w:sz w:val="22"/>
              </w:rPr>
            </w:pPr>
            <w:r>
              <w:rPr>
                <w:b/>
                <w:sz w:val="22"/>
              </w:rPr>
              <w:t>Espiritu Community Development Corp</w:t>
            </w:r>
          </w:p>
        </w:tc>
        <w:tc>
          <w:tcPr>
            <w:tcW w:w="1356" w:type="dxa"/>
          </w:tcPr>
          <w:p>
            <w:pPr>
              <w:pStyle w:val="TableParagraph"/>
              <w:spacing w:line="246" w:lineRule="exact"/>
              <w:ind w:left="103" w:right="101"/>
              <w:rPr>
                <w:b/>
                <w:sz w:val="22"/>
              </w:rPr>
            </w:pPr>
            <w:r>
              <w:rPr>
                <w:b/>
                <w:sz w:val="22"/>
              </w:rPr>
              <w:t>$40,138</w:t>
            </w:r>
          </w:p>
        </w:tc>
        <w:tc>
          <w:tcPr>
            <w:tcW w:w="1529" w:type="dxa"/>
            <w:shd w:val="clear" w:color="auto" w:fill="FFFF00"/>
          </w:tcPr>
          <w:p>
            <w:pPr>
              <w:pStyle w:val="TableParagraph"/>
              <w:spacing w:line="246" w:lineRule="exact"/>
              <w:ind w:left="153" w:right="151"/>
              <w:rPr>
                <w:b/>
                <w:sz w:val="22"/>
              </w:rPr>
            </w:pPr>
            <w:r>
              <w:rPr>
                <w:b/>
                <w:color w:val="FF0000"/>
                <w:sz w:val="22"/>
              </w:rPr>
              <w:t>-$101,725</w:t>
            </w:r>
          </w:p>
        </w:tc>
        <w:tc>
          <w:tcPr>
            <w:tcW w:w="1541" w:type="dxa"/>
            <w:shd w:val="clear" w:color="auto" w:fill="FFFF00"/>
          </w:tcPr>
          <w:p>
            <w:pPr>
              <w:pStyle w:val="TableParagraph"/>
              <w:spacing w:line="246" w:lineRule="exact"/>
              <w:ind w:left="195" w:right="193"/>
              <w:rPr>
                <w:b/>
                <w:sz w:val="22"/>
              </w:rPr>
            </w:pPr>
            <w:r>
              <w:rPr>
                <w:b/>
                <w:sz w:val="22"/>
              </w:rPr>
              <w:t>$141,863</w:t>
            </w:r>
          </w:p>
        </w:tc>
      </w:tr>
    </w:tbl>
    <w:p>
      <w:pPr>
        <w:spacing w:after="0" w:line="246" w:lineRule="exact"/>
        <w:rPr>
          <w:sz w:val="22"/>
        </w:rPr>
        <w:sectPr>
          <w:pgSz w:w="12240" w:h="15840"/>
          <w:pgMar w:header="740" w:footer="1002" w:top="940" w:bottom="1200" w:left="1220" w:right="1720"/>
        </w:sectPr>
      </w:pPr>
    </w:p>
    <w:p>
      <w:pPr>
        <w:pStyle w:val="BodyText"/>
        <w:rPr>
          <w:rFonts w:ascii="Times New Roman"/>
          <w:sz w:val="20"/>
        </w:rPr>
      </w:pPr>
    </w:p>
    <w:p>
      <w:pPr>
        <w:pStyle w:val="Heading1"/>
        <w:ind w:left="240"/>
      </w:pPr>
      <w:bookmarkStart w:name="_bookmark77" w:id="78"/>
      <w:bookmarkEnd w:id="78"/>
      <w:r>
        <w:rPr/>
      </w:r>
      <w:r>
        <w:rPr>
          <w:color w:val="365F91"/>
        </w:rPr>
        <w:t>Addendum B</w:t>
      </w:r>
    </w:p>
    <w:p>
      <w:pPr>
        <w:spacing w:before="233"/>
        <w:ind w:left="240" w:right="0" w:firstLine="0"/>
        <w:jc w:val="left"/>
        <w:rPr>
          <w:b/>
          <w:sz w:val="22"/>
        </w:rPr>
      </w:pPr>
      <w:bookmarkStart w:name="_bookmark78" w:id="79"/>
      <w:bookmarkEnd w:id="79"/>
      <w:r>
        <w:rPr/>
      </w:r>
      <w:r>
        <w:rPr>
          <w:b/>
          <w:color w:val="4F81BC"/>
          <w:sz w:val="22"/>
        </w:rPr>
        <w:t>Criteria on Dealings with Related Parties</w:t>
      </w:r>
    </w:p>
    <w:p>
      <w:pPr>
        <w:pStyle w:val="BodyText"/>
        <w:rPr>
          <w:b/>
          <w:sz w:val="20"/>
        </w:rPr>
      </w:pPr>
    </w:p>
    <w:p>
      <w:pPr>
        <w:pStyle w:val="BodyText"/>
        <w:spacing w:before="10"/>
        <w:rPr>
          <w:b/>
          <w:sz w:val="25"/>
        </w:rPr>
      </w:pPr>
    </w:p>
    <w:tbl>
      <w:tblPr>
        <w:tblW w:w="0" w:type="auto"/>
        <w:jc w:val="left"/>
        <w:tblInd w:w="108" w:type="dxa"/>
        <w:tblBorders>
          <w:top w:val="single" w:sz="12" w:space="0" w:color="5B9BD4"/>
          <w:left w:val="single" w:sz="12" w:space="0" w:color="5B9BD4"/>
          <w:bottom w:val="single" w:sz="12" w:space="0" w:color="5B9BD4"/>
          <w:right w:val="single" w:sz="12" w:space="0" w:color="5B9BD4"/>
          <w:insideH w:val="single" w:sz="12" w:space="0" w:color="5B9BD4"/>
          <w:insideV w:val="single" w:sz="12" w:space="0" w:color="5B9BD4"/>
        </w:tblBorders>
        <w:tblLayout w:type="fixed"/>
        <w:tblCellMar>
          <w:top w:w="0" w:type="dxa"/>
          <w:left w:w="0" w:type="dxa"/>
          <w:bottom w:w="0" w:type="dxa"/>
          <w:right w:w="0" w:type="dxa"/>
        </w:tblCellMar>
        <w:tblLook w:val="01E0"/>
      </w:tblPr>
      <w:tblGrid>
        <w:gridCol w:w="4496"/>
        <w:gridCol w:w="4866"/>
      </w:tblGrid>
      <w:tr>
        <w:trPr>
          <w:trHeight w:val="340" w:hRule="atLeast"/>
        </w:trPr>
        <w:tc>
          <w:tcPr>
            <w:tcW w:w="4496" w:type="dxa"/>
            <w:tcBorders>
              <w:left w:val="nil"/>
              <w:bottom w:val="nil"/>
              <w:right w:val="nil"/>
            </w:tcBorders>
            <w:shd w:val="clear" w:color="auto" w:fill="000000"/>
          </w:tcPr>
          <w:p>
            <w:pPr>
              <w:pStyle w:val="TableParagraph"/>
              <w:spacing w:before="110"/>
              <w:ind w:left="512" w:right="506"/>
              <w:rPr>
                <w:b/>
                <w:sz w:val="18"/>
              </w:rPr>
            </w:pPr>
            <w:r>
              <w:rPr>
                <w:b/>
                <w:color w:val="FFFFFF"/>
                <w:sz w:val="18"/>
              </w:rPr>
              <w:t># Dealing with Related Party</w:t>
            </w:r>
          </w:p>
        </w:tc>
        <w:tc>
          <w:tcPr>
            <w:tcW w:w="4866" w:type="dxa"/>
            <w:tcBorders>
              <w:left w:val="nil"/>
              <w:bottom w:val="nil"/>
              <w:right w:val="nil"/>
            </w:tcBorders>
            <w:shd w:val="clear" w:color="auto" w:fill="000000"/>
          </w:tcPr>
          <w:p>
            <w:pPr>
              <w:pStyle w:val="TableParagraph"/>
              <w:spacing w:before="110"/>
              <w:ind w:left="482" w:right="472"/>
              <w:rPr>
                <w:b/>
                <w:sz w:val="18"/>
              </w:rPr>
            </w:pPr>
            <w:r>
              <w:rPr>
                <w:b/>
                <w:color w:val="FFFFFF"/>
                <w:sz w:val="18"/>
              </w:rPr>
              <w:t>Small or No Dealings with a Related Party</w:t>
            </w:r>
          </w:p>
        </w:tc>
      </w:tr>
      <w:tr>
        <w:trPr>
          <w:trHeight w:val="300" w:hRule="atLeast"/>
        </w:trPr>
        <w:tc>
          <w:tcPr>
            <w:tcW w:w="4496" w:type="dxa"/>
            <w:tcBorders>
              <w:top w:val="single" w:sz="18" w:space="0" w:color="000000"/>
              <w:left w:val="single" w:sz="8" w:space="0" w:color="000000"/>
              <w:bottom w:val="single" w:sz="8" w:space="0" w:color="000000"/>
              <w:right w:val="single" w:sz="8" w:space="0" w:color="000000"/>
            </w:tcBorders>
          </w:tcPr>
          <w:p>
            <w:pPr>
              <w:pStyle w:val="TableParagraph"/>
              <w:spacing w:line="220" w:lineRule="exact" w:before="79"/>
              <w:ind w:left="1876" w:right="1879"/>
              <w:rPr>
                <w:b/>
                <w:sz w:val="20"/>
              </w:rPr>
            </w:pPr>
            <w:r>
              <w:rPr>
                <w:b/>
                <w:sz w:val="20"/>
              </w:rPr>
              <w:t>309</w:t>
            </w:r>
          </w:p>
        </w:tc>
        <w:tc>
          <w:tcPr>
            <w:tcW w:w="4866" w:type="dxa"/>
            <w:tcBorders>
              <w:top w:val="single" w:sz="18" w:space="0" w:color="000000"/>
              <w:left w:val="single" w:sz="8" w:space="0" w:color="000000"/>
              <w:bottom w:val="single" w:sz="8" w:space="0" w:color="000000"/>
              <w:right w:val="single" w:sz="8" w:space="0" w:color="000000"/>
            </w:tcBorders>
          </w:tcPr>
          <w:p>
            <w:pPr>
              <w:pStyle w:val="TableParagraph"/>
              <w:spacing w:line="220" w:lineRule="exact" w:before="79"/>
              <w:ind w:left="2061" w:right="2064"/>
              <w:rPr>
                <w:b/>
                <w:sz w:val="20"/>
              </w:rPr>
            </w:pPr>
            <w:r>
              <w:rPr>
                <w:b/>
                <w:sz w:val="20"/>
              </w:rPr>
              <w:t>91</w:t>
            </w:r>
          </w:p>
        </w:tc>
      </w:tr>
      <w:tr>
        <w:trPr>
          <w:trHeight w:val="300" w:hRule="atLeast"/>
        </w:trPr>
        <w:tc>
          <w:tcPr>
            <w:tcW w:w="9362" w:type="dxa"/>
            <w:gridSpan w:val="2"/>
            <w:tcBorders>
              <w:top w:val="single" w:sz="8" w:space="0" w:color="000000"/>
              <w:left w:val="nil"/>
              <w:bottom w:val="single" w:sz="24" w:space="0" w:color="5B9BD4"/>
              <w:right w:val="nil"/>
            </w:tcBorders>
          </w:tcPr>
          <w:p>
            <w:pPr>
              <w:pStyle w:val="TableParagraph"/>
              <w:jc w:val="left"/>
              <w:rPr>
                <w:rFonts w:ascii="Times New Roman"/>
                <w:sz w:val="20"/>
              </w:rPr>
            </w:pPr>
          </w:p>
        </w:tc>
      </w:tr>
      <w:tr>
        <w:trPr>
          <w:trHeight w:val="320" w:hRule="atLeast"/>
        </w:trPr>
        <w:tc>
          <w:tcPr>
            <w:tcW w:w="4496" w:type="dxa"/>
            <w:tcBorders>
              <w:top w:val="single" w:sz="18" w:space="0" w:color="5B9BD4"/>
              <w:left w:val="nil"/>
              <w:bottom w:val="nil"/>
              <w:right w:val="nil"/>
            </w:tcBorders>
            <w:shd w:val="clear" w:color="auto" w:fill="000000"/>
          </w:tcPr>
          <w:p>
            <w:pPr>
              <w:pStyle w:val="TableParagraph"/>
              <w:spacing w:line="200" w:lineRule="exact" w:before="108"/>
              <w:ind w:left="512" w:right="512"/>
              <w:rPr>
                <w:b/>
                <w:sz w:val="18"/>
              </w:rPr>
            </w:pPr>
            <w:r>
              <w:rPr>
                <w:b/>
                <w:color w:val="FFFFFF"/>
                <w:sz w:val="18"/>
              </w:rPr>
              <w:t>Percentage Dealing with Related Parties</w:t>
            </w:r>
          </w:p>
        </w:tc>
        <w:tc>
          <w:tcPr>
            <w:tcW w:w="4866" w:type="dxa"/>
            <w:tcBorders>
              <w:top w:val="single" w:sz="18" w:space="0" w:color="5B9BD4"/>
              <w:left w:val="nil"/>
              <w:bottom w:val="nil"/>
              <w:right w:val="nil"/>
            </w:tcBorders>
            <w:shd w:val="clear" w:color="auto" w:fill="000000"/>
          </w:tcPr>
          <w:p>
            <w:pPr>
              <w:pStyle w:val="TableParagraph"/>
              <w:spacing w:line="200" w:lineRule="exact" w:before="108"/>
              <w:ind w:left="482" w:right="482"/>
              <w:rPr>
                <w:b/>
                <w:sz w:val="18"/>
              </w:rPr>
            </w:pPr>
            <w:r>
              <w:rPr>
                <w:b/>
                <w:color w:val="FFFFFF"/>
                <w:sz w:val="18"/>
              </w:rPr>
              <w:t>Percentage NOT Dealing with Related Parties</w:t>
            </w:r>
          </w:p>
        </w:tc>
      </w:tr>
      <w:tr>
        <w:trPr>
          <w:trHeight w:val="320" w:hRule="atLeast"/>
        </w:trPr>
        <w:tc>
          <w:tcPr>
            <w:tcW w:w="4496" w:type="dxa"/>
            <w:tcBorders>
              <w:top w:val="single" w:sz="8" w:space="0" w:color="000000"/>
              <w:left w:val="single" w:sz="8" w:space="0" w:color="000000"/>
              <w:bottom w:val="single" w:sz="8" w:space="0" w:color="000000"/>
              <w:right w:val="single" w:sz="8" w:space="0" w:color="000000"/>
            </w:tcBorders>
          </w:tcPr>
          <w:p>
            <w:pPr>
              <w:pStyle w:val="TableParagraph"/>
              <w:spacing w:before="66"/>
              <w:ind w:left="1878" w:right="1879"/>
              <w:rPr>
                <w:b/>
                <w:sz w:val="20"/>
              </w:rPr>
            </w:pPr>
            <w:r>
              <w:rPr>
                <w:b/>
                <w:sz w:val="20"/>
              </w:rPr>
              <w:t>77.25%</w:t>
            </w:r>
          </w:p>
        </w:tc>
        <w:tc>
          <w:tcPr>
            <w:tcW w:w="4866" w:type="dxa"/>
            <w:tcBorders>
              <w:top w:val="single" w:sz="8" w:space="0" w:color="000000"/>
              <w:left w:val="single" w:sz="8" w:space="0" w:color="000000"/>
              <w:bottom w:val="single" w:sz="8" w:space="0" w:color="000000"/>
              <w:right w:val="single" w:sz="8" w:space="0" w:color="000000"/>
            </w:tcBorders>
          </w:tcPr>
          <w:p>
            <w:pPr>
              <w:pStyle w:val="TableParagraph"/>
              <w:spacing w:before="66"/>
              <w:ind w:left="2063" w:right="2064"/>
              <w:rPr>
                <w:b/>
                <w:sz w:val="20"/>
              </w:rPr>
            </w:pPr>
            <w:r>
              <w:rPr>
                <w:b/>
                <w:sz w:val="20"/>
              </w:rPr>
              <w:t>22.75%</w:t>
            </w:r>
          </w:p>
        </w:tc>
      </w:tr>
    </w:tbl>
    <w:p>
      <w:pPr>
        <w:pStyle w:val="BodyText"/>
        <w:rPr>
          <w:b/>
          <w:sz w:val="20"/>
        </w:rPr>
      </w:pPr>
    </w:p>
    <w:p>
      <w:pPr>
        <w:pStyle w:val="BodyText"/>
        <w:spacing w:before="3"/>
        <w:rPr>
          <w:b/>
          <w:sz w:val="21"/>
        </w:rPr>
      </w:pPr>
    </w:p>
    <w:p>
      <w:pPr>
        <w:spacing w:line="276" w:lineRule="auto" w:before="0"/>
        <w:ind w:left="240" w:right="107" w:firstLine="0"/>
        <w:jc w:val="both"/>
        <w:rPr>
          <w:sz w:val="22"/>
        </w:rPr>
      </w:pPr>
      <w:r>
        <w:rPr>
          <w:sz w:val="22"/>
        </w:rPr>
        <w:t>Charters were counted as a charter entity if they had an independent charter. This negated the consolidation effect of consolidated audits. The statistics revealed a total of 101 charters with either no related-party transactions OR related-party transactions that fit the criteria, “related- party expenditures can be a way to save money through efficiency”.</w:t>
      </w:r>
    </w:p>
    <w:p>
      <w:pPr>
        <w:spacing w:line="276" w:lineRule="auto" w:before="203"/>
        <w:ind w:left="240" w:right="119" w:firstLine="0"/>
        <w:jc w:val="both"/>
        <w:rPr>
          <w:sz w:val="22"/>
        </w:rPr>
      </w:pPr>
      <w:r>
        <w:rPr>
          <w:sz w:val="22"/>
        </w:rPr>
        <w:t>While 101 Charters met that criteria, charters that had not passed the ASBCS' audit or their Academics were D or less were taken out of the count. Thus the number 91 in the statistics.</w:t>
      </w:r>
    </w:p>
    <w:p>
      <w:pPr>
        <w:spacing w:line="278" w:lineRule="auto" w:before="199"/>
        <w:ind w:left="240" w:right="113" w:firstLine="0"/>
        <w:jc w:val="both"/>
        <w:rPr>
          <w:sz w:val="22"/>
        </w:rPr>
      </w:pPr>
      <w:r>
        <w:rPr>
          <w:sz w:val="22"/>
        </w:rPr>
        <w:t>43 of the 101 met the criteria, “Related-party expenditures can be a way to save money through efficiency”.</w:t>
      </w:r>
    </w:p>
    <w:p>
      <w:pPr>
        <w:spacing w:line="278" w:lineRule="auto" w:before="197"/>
        <w:ind w:left="240" w:right="106" w:firstLine="0"/>
        <w:jc w:val="both"/>
        <w:rPr>
          <w:sz w:val="22"/>
        </w:rPr>
      </w:pPr>
      <w:r>
        <w:rPr>
          <w:sz w:val="22"/>
        </w:rPr>
        <w:t>58 avoided any conflict of interest by heeding standard district protocols regarding related-party transactions.</w:t>
      </w:r>
    </w:p>
    <w:p>
      <w:pPr>
        <w:spacing w:before="199"/>
        <w:ind w:left="240" w:right="0" w:firstLine="0"/>
        <w:jc w:val="both"/>
        <w:rPr>
          <w:sz w:val="22"/>
        </w:rPr>
      </w:pPr>
      <w:r>
        <w:rPr>
          <w:sz w:val="22"/>
        </w:rPr>
        <w:t>74 of the 101 had diverse Corporate Boards with community representation on those boards.</w:t>
      </w:r>
    </w:p>
    <w:p>
      <w:pPr>
        <w:pStyle w:val="BodyText"/>
        <w:spacing w:before="8"/>
        <w:rPr>
          <w:sz w:val="20"/>
        </w:rPr>
      </w:pPr>
    </w:p>
    <w:p>
      <w:pPr>
        <w:spacing w:line="276" w:lineRule="auto" w:before="0"/>
        <w:ind w:left="240" w:right="108" w:hanging="3"/>
        <w:jc w:val="both"/>
        <w:rPr>
          <w:sz w:val="22"/>
        </w:rPr>
      </w:pPr>
      <w:r>
        <w:rPr>
          <w:sz w:val="22"/>
        </w:rPr>
        <w:t>The list provided here includes all of the charters that met the criteria of legitimate related-party expenditures that were efficient and cost saving.</w:t>
      </w:r>
    </w:p>
    <w:p>
      <w:pPr>
        <w:pStyle w:val="BodyText"/>
        <w:spacing w:before="8"/>
        <w:rPr>
          <w:sz w:val="17"/>
        </w:rPr>
      </w:pPr>
    </w:p>
    <w:tbl>
      <w:tblPr>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50"/>
      </w:tblGrid>
      <w:tr>
        <w:trPr>
          <w:trHeight w:val="880" w:hRule="atLeast"/>
        </w:trPr>
        <w:tc>
          <w:tcPr>
            <w:tcW w:w="9350" w:type="dxa"/>
            <w:tcBorders>
              <w:top w:val="single" w:sz="4" w:space="0" w:color="000000"/>
              <w:left w:val="single" w:sz="4" w:space="0" w:color="000000"/>
              <w:bottom w:val="single" w:sz="4" w:space="0" w:color="000000"/>
              <w:right w:val="single" w:sz="4" w:space="0" w:color="000000"/>
            </w:tcBorders>
          </w:tcPr>
          <w:p>
            <w:pPr>
              <w:pStyle w:val="TableParagraph"/>
              <w:ind w:left="357" w:right="367" w:firstLine="446"/>
              <w:jc w:val="left"/>
              <w:rPr>
                <w:sz w:val="26"/>
              </w:rPr>
            </w:pPr>
            <w:r>
              <w:rPr>
                <w:color w:val="365F91"/>
                <w:sz w:val="26"/>
              </w:rPr>
              <w:t>List of charters that either had zero Related-Party Expenditures or Related-Party Expenditures that were Cost Efficient and Saved the Charter</w:t>
            </w:r>
          </w:p>
          <w:p>
            <w:pPr>
              <w:pStyle w:val="TableParagraph"/>
              <w:spacing w:line="263" w:lineRule="exact" w:before="1"/>
              <w:ind w:left="4223" w:right="4223"/>
              <w:rPr>
                <w:sz w:val="26"/>
              </w:rPr>
            </w:pPr>
            <w:r>
              <w:rPr>
                <w:color w:val="365F91"/>
                <w:sz w:val="26"/>
              </w:rPr>
              <w:t>Money.</w:t>
            </w:r>
          </w:p>
        </w:tc>
      </w:tr>
      <w:tr>
        <w:trPr>
          <w:trHeight w:val="360" w:hRule="atLeast"/>
        </w:trPr>
        <w:tc>
          <w:tcPr>
            <w:tcW w:w="9350" w:type="dxa"/>
            <w:tcBorders>
              <w:top w:val="single" w:sz="4" w:space="0" w:color="000000"/>
            </w:tcBorders>
          </w:tcPr>
          <w:p>
            <w:pPr>
              <w:pStyle w:val="TableParagraph"/>
              <w:spacing w:before="109"/>
              <w:ind w:left="2320" w:right="2317"/>
              <w:rPr>
                <w:b/>
                <w:sz w:val="18"/>
              </w:rPr>
            </w:pPr>
            <w:r>
              <w:rPr>
                <w:b/>
                <w:sz w:val="18"/>
              </w:rPr>
              <w:t>ACCLAIM Charter School</w:t>
            </w:r>
          </w:p>
        </w:tc>
      </w:tr>
      <w:tr>
        <w:trPr>
          <w:trHeight w:val="300" w:hRule="atLeast"/>
        </w:trPr>
        <w:tc>
          <w:tcPr>
            <w:tcW w:w="9350" w:type="dxa"/>
          </w:tcPr>
          <w:p>
            <w:pPr>
              <w:pStyle w:val="TableParagraph"/>
              <w:spacing w:before="54"/>
              <w:ind w:left="2319" w:right="2317"/>
              <w:rPr>
                <w:b/>
                <w:sz w:val="18"/>
              </w:rPr>
            </w:pPr>
            <w:r>
              <w:rPr>
                <w:b/>
                <w:sz w:val="18"/>
              </w:rPr>
              <w:t>All Aboard Charter School</w:t>
            </w:r>
          </w:p>
        </w:tc>
      </w:tr>
      <w:tr>
        <w:trPr>
          <w:trHeight w:val="300" w:hRule="atLeast"/>
        </w:trPr>
        <w:tc>
          <w:tcPr>
            <w:tcW w:w="9350" w:type="dxa"/>
          </w:tcPr>
          <w:p>
            <w:pPr>
              <w:pStyle w:val="TableParagraph"/>
              <w:spacing w:before="50"/>
              <w:ind w:left="2319" w:right="2317"/>
              <w:rPr>
                <w:b/>
                <w:sz w:val="18"/>
              </w:rPr>
            </w:pPr>
            <w:r>
              <w:rPr>
                <w:b/>
                <w:sz w:val="18"/>
              </w:rPr>
              <w:t>All Aboard Charter School</w:t>
            </w:r>
          </w:p>
        </w:tc>
      </w:tr>
      <w:tr>
        <w:trPr>
          <w:trHeight w:val="300" w:hRule="atLeast"/>
        </w:trPr>
        <w:tc>
          <w:tcPr>
            <w:tcW w:w="9350" w:type="dxa"/>
          </w:tcPr>
          <w:p>
            <w:pPr>
              <w:pStyle w:val="TableParagraph"/>
              <w:spacing w:before="43"/>
              <w:ind w:left="2317" w:right="2317"/>
              <w:rPr>
                <w:b/>
                <w:sz w:val="18"/>
              </w:rPr>
            </w:pPr>
            <w:r>
              <w:rPr>
                <w:b/>
                <w:sz w:val="18"/>
              </w:rPr>
              <w:t>Allen-Cochran Enterprises,</w:t>
            </w:r>
          </w:p>
        </w:tc>
      </w:tr>
      <w:tr>
        <w:trPr>
          <w:trHeight w:val="300" w:hRule="atLeast"/>
        </w:trPr>
        <w:tc>
          <w:tcPr>
            <w:tcW w:w="9350" w:type="dxa"/>
          </w:tcPr>
          <w:p>
            <w:pPr>
              <w:pStyle w:val="TableParagraph"/>
              <w:spacing w:before="43"/>
              <w:ind w:left="2321" w:right="2314"/>
              <w:rPr>
                <w:b/>
                <w:sz w:val="18"/>
              </w:rPr>
            </w:pPr>
            <w:r>
              <w:rPr>
                <w:b/>
                <w:sz w:val="18"/>
              </w:rPr>
              <w:t>Ambassador Academy</w:t>
            </w:r>
          </w:p>
        </w:tc>
      </w:tr>
      <w:tr>
        <w:trPr>
          <w:trHeight w:val="300" w:hRule="atLeast"/>
        </w:trPr>
        <w:tc>
          <w:tcPr>
            <w:tcW w:w="9350" w:type="dxa"/>
          </w:tcPr>
          <w:p>
            <w:pPr>
              <w:pStyle w:val="TableParagraph"/>
              <w:spacing w:before="43"/>
              <w:ind w:left="2317" w:right="2317"/>
              <w:rPr>
                <w:b/>
                <w:sz w:val="18"/>
              </w:rPr>
            </w:pPr>
            <w:r>
              <w:rPr>
                <w:b/>
                <w:sz w:val="18"/>
              </w:rPr>
              <w:t>Aprender Tucson</w:t>
            </w:r>
          </w:p>
        </w:tc>
      </w:tr>
      <w:tr>
        <w:trPr>
          <w:trHeight w:val="300" w:hRule="atLeast"/>
        </w:trPr>
        <w:tc>
          <w:tcPr>
            <w:tcW w:w="9350" w:type="dxa"/>
          </w:tcPr>
          <w:p>
            <w:pPr>
              <w:pStyle w:val="TableParagraph"/>
              <w:spacing w:before="43"/>
              <w:ind w:left="2318" w:right="2317"/>
              <w:rPr>
                <w:b/>
                <w:sz w:val="18"/>
              </w:rPr>
            </w:pPr>
            <w:r>
              <w:rPr>
                <w:b/>
                <w:sz w:val="18"/>
              </w:rPr>
              <w:t>Arizona Agribusiness &amp; Equine Centers</w:t>
            </w:r>
          </w:p>
        </w:tc>
      </w:tr>
      <w:tr>
        <w:trPr>
          <w:trHeight w:val="300" w:hRule="atLeast"/>
        </w:trPr>
        <w:tc>
          <w:tcPr>
            <w:tcW w:w="9350" w:type="dxa"/>
          </w:tcPr>
          <w:p>
            <w:pPr>
              <w:pStyle w:val="TableParagraph"/>
              <w:spacing w:before="43"/>
              <w:ind w:left="2319" w:right="2317"/>
              <w:rPr>
                <w:b/>
                <w:sz w:val="18"/>
              </w:rPr>
            </w:pPr>
            <w:r>
              <w:rPr>
                <w:b/>
                <w:sz w:val="18"/>
              </w:rPr>
              <w:t>Arizona Autism Charter Schools, Inc.</w:t>
            </w:r>
          </w:p>
        </w:tc>
      </w:tr>
      <w:tr>
        <w:trPr>
          <w:trHeight w:val="300" w:hRule="atLeast"/>
        </w:trPr>
        <w:tc>
          <w:tcPr>
            <w:tcW w:w="9350" w:type="dxa"/>
          </w:tcPr>
          <w:p>
            <w:pPr>
              <w:pStyle w:val="TableParagraph"/>
              <w:spacing w:before="43"/>
              <w:ind w:left="2319" w:right="2317"/>
              <w:rPr>
                <w:b/>
                <w:sz w:val="18"/>
              </w:rPr>
            </w:pPr>
            <w:r>
              <w:rPr>
                <w:b/>
                <w:sz w:val="18"/>
              </w:rPr>
              <w:t>Arizona Call-a-Teen Youth Resources, Inc.</w:t>
            </w:r>
          </w:p>
        </w:tc>
      </w:tr>
      <w:tr>
        <w:trPr>
          <w:trHeight w:val="240" w:hRule="atLeast"/>
        </w:trPr>
        <w:tc>
          <w:tcPr>
            <w:tcW w:w="9350" w:type="dxa"/>
          </w:tcPr>
          <w:p>
            <w:pPr>
              <w:pStyle w:val="TableParagraph"/>
              <w:spacing w:line="187" w:lineRule="exact" w:before="50"/>
              <w:ind w:left="2321" w:right="2317"/>
              <w:rPr>
                <w:b/>
                <w:sz w:val="18"/>
              </w:rPr>
            </w:pPr>
            <w:r>
              <w:rPr>
                <w:b/>
                <w:sz w:val="18"/>
              </w:rPr>
              <w:t>Arizona Language Preparatory</w:t>
            </w:r>
          </w:p>
        </w:tc>
      </w:tr>
    </w:tbl>
    <w:p>
      <w:pPr>
        <w:spacing w:after="0" w:line="187" w:lineRule="exact"/>
        <w:rPr>
          <w:sz w:val="18"/>
        </w:rPr>
        <w:sectPr>
          <w:pgSz w:w="12240" w:h="15840"/>
          <w:pgMar w:header="740" w:footer="1002" w:top="940" w:bottom="1200" w:left="1200" w:right="1320"/>
        </w:sectPr>
      </w:pPr>
    </w:p>
    <w:p>
      <w:pPr>
        <w:pStyle w:val="BodyText"/>
        <w:rPr>
          <w:rFonts w:ascii="Times New Roman"/>
          <w:sz w:val="20"/>
        </w:rPr>
      </w:pPr>
    </w:p>
    <w:p>
      <w:pPr>
        <w:pStyle w:val="BodyText"/>
        <w:rPr>
          <w:rFonts w:ascii="Times New Roman"/>
          <w:sz w:val="20"/>
        </w:rPr>
      </w:pPr>
    </w:p>
    <w:p>
      <w:pPr>
        <w:pStyle w:val="BodyText"/>
        <w:spacing w:before="8"/>
        <w:rPr>
          <w:rFonts w:ascii="Times New Roman"/>
          <w:sz w:val="12"/>
        </w:rPr>
      </w:pPr>
    </w:p>
    <w:tbl>
      <w:tblPr>
        <w:tblW w:w="0" w:type="auto"/>
        <w:jc w:val="left"/>
        <w:tblInd w:w="1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41"/>
      </w:tblGrid>
      <w:tr>
        <w:trPr>
          <w:trHeight w:val="240" w:hRule="atLeast"/>
        </w:trPr>
        <w:tc>
          <w:tcPr>
            <w:tcW w:w="5241" w:type="dxa"/>
          </w:tcPr>
          <w:p>
            <w:pPr>
              <w:pStyle w:val="TableParagraph"/>
              <w:spacing w:line="201" w:lineRule="exact"/>
              <w:ind w:left="179" w:right="179"/>
              <w:rPr>
                <w:b/>
                <w:sz w:val="18"/>
              </w:rPr>
            </w:pPr>
            <w:r>
              <w:rPr>
                <w:b/>
                <w:sz w:val="18"/>
              </w:rPr>
              <w:t>Arizona School for the Arts</w:t>
            </w:r>
          </w:p>
        </w:tc>
      </w:tr>
      <w:tr>
        <w:trPr>
          <w:trHeight w:val="280" w:hRule="atLeast"/>
        </w:trPr>
        <w:tc>
          <w:tcPr>
            <w:tcW w:w="5241" w:type="dxa"/>
          </w:tcPr>
          <w:p>
            <w:pPr>
              <w:pStyle w:val="TableParagraph"/>
              <w:spacing w:before="40"/>
              <w:ind w:left="179" w:right="175"/>
              <w:rPr>
                <w:b/>
                <w:sz w:val="18"/>
              </w:rPr>
            </w:pPr>
            <w:r>
              <w:rPr>
                <w:b/>
                <w:sz w:val="18"/>
              </w:rPr>
              <w:t>Benchmark School, Inc.</w:t>
            </w:r>
          </w:p>
        </w:tc>
      </w:tr>
      <w:tr>
        <w:trPr>
          <w:trHeight w:val="300" w:hRule="atLeast"/>
        </w:trPr>
        <w:tc>
          <w:tcPr>
            <w:tcW w:w="5241" w:type="dxa"/>
          </w:tcPr>
          <w:p>
            <w:pPr>
              <w:pStyle w:val="TableParagraph"/>
              <w:spacing w:before="43"/>
              <w:ind w:left="179" w:right="175"/>
              <w:rPr>
                <w:b/>
                <w:sz w:val="18"/>
              </w:rPr>
            </w:pPr>
            <w:r>
              <w:rPr>
                <w:b/>
                <w:sz w:val="18"/>
              </w:rPr>
              <w:t>Camino Montessori</w:t>
            </w:r>
          </w:p>
        </w:tc>
      </w:tr>
      <w:tr>
        <w:trPr>
          <w:trHeight w:val="300" w:hRule="atLeast"/>
        </w:trPr>
        <w:tc>
          <w:tcPr>
            <w:tcW w:w="5241" w:type="dxa"/>
          </w:tcPr>
          <w:p>
            <w:pPr>
              <w:pStyle w:val="TableParagraph"/>
              <w:spacing w:before="43"/>
              <w:ind w:left="179" w:right="178"/>
              <w:rPr>
                <w:b/>
                <w:sz w:val="18"/>
              </w:rPr>
            </w:pPr>
            <w:r>
              <w:rPr>
                <w:b/>
                <w:sz w:val="18"/>
              </w:rPr>
              <w:t>Candeo Schools, Inc.</w:t>
            </w:r>
          </w:p>
        </w:tc>
      </w:tr>
      <w:tr>
        <w:trPr>
          <w:trHeight w:val="300" w:hRule="atLeast"/>
        </w:trPr>
        <w:tc>
          <w:tcPr>
            <w:tcW w:w="5241" w:type="dxa"/>
          </w:tcPr>
          <w:p>
            <w:pPr>
              <w:pStyle w:val="TableParagraph"/>
              <w:spacing w:before="43"/>
              <w:ind w:left="179" w:right="175"/>
              <w:rPr>
                <w:b/>
                <w:sz w:val="18"/>
              </w:rPr>
            </w:pPr>
            <w:r>
              <w:rPr>
                <w:b/>
                <w:sz w:val="18"/>
              </w:rPr>
              <w:t>Carden of Tucson, Inc.</w:t>
            </w:r>
          </w:p>
        </w:tc>
      </w:tr>
      <w:tr>
        <w:trPr>
          <w:trHeight w:val="280" w:hRule="atLeast"/>
        </w:trPr>
        <w:tc>
          <w:tcPr>
            <w:tcW w:w="5241" w:type="dxa"/>
          </w:tcPr>
          <w:p>
            <w:pPr>
              <w:pStyle w:val="TableParagraph"/>
              <w:spacing w:before="43"/>
              <w:ind w:left="179" w:right="170"/>
              <w:rPr>
                <w:b/>
                <w:sz w:val="18"/>
              </w:rPr>
            </w:pPr>
            <w:r>
              <w:rPr>
                <w:b/>
                <w:sz w:val="18"/>
              </w:rPr>
              <w:t>CASA Academy</w:t>
            </w:r>
          </w:p>
        </w:tc>
      </w:tr>
      <w:tr>
        <w:trPr>
          <w:trHeight w:val="300" w:hRule="atLeast"/>
        </w:trPr>
        <w:tc>
          <w:tcPr>
            <w:tcW w:w="5241" w:type="dxa"/>
          </w:tcPr>
          <w:p>
            <w:pPr>
              <w:pStyle w:val="TableParagraph"/>
              <w:spacing w:before="40"/>
              <w:ind w:left="179" w:right="175"/>
              <w:rPr>
                <w:b/>
                <w:sz w:val="18"/>
              </w:rPr>
            </w:pPr>
            <w:r>
              <w:rPr>
                <w:b/>
                <w:sz w:val="18"/>
              </w:rPr>
              <w:t>Center for Academic Success, Inc.</w:t>
            </w:r>
          </w:p>
        </w:tc>
      </w:tr>
      <w:tr>
        <w:trPr>
          <w:trHeight w:val="300" w:hRule="atLeast"/>
        </w:trPr>
        <w:tc>
          <w:tcPr>
            <w:tcW w:w="5241" w:type="dxa"/>
          </w:tcPr>
          <w:p>
            <w:pPr>
              <w:pStyle w:val="TableParagraph"/>
              <w:spacing w:before="47"/>
              <w:ind w:left="179" w:right="176"/>
              <w:rPr>
                <w:b/>
                <w:sz w:val="18"/>
              </w:rPr>
            </w:pPr>
            <w:r>
              <w:rPr>
                <w:b/>
                <w:sz w:val="18"/>
              </w:rPr>
              <w:t>Center for Creative Education, Inc.</w:t>
            </w:r>
          </w:p>
        </w:tc>
      </w:tr>
      <w:tr>
        <w:trPr>
          <w:trHeight w:val="320" w:hRule="atLeast"/>
        </w:trPr>
        <w:tc>
          <w:tcPr>
            <w:tcW w:w="5241" w:type="dxa"/>
          </w:tcPr>
          <w:p>
            <w:pPr>
              <w:pStyle w:val="TableParagraph"/>
              <w:spacing w:before="56"/>
              <w:ind w:left="179" w:right="179"/>
              <w:rPr>
                <w:b/>
                <w:sz w:val="18"/>
              </w:rPr>
            </w:pPr>
            <w:r>
              <w:rPr>
                <w:b/>
                <w:sz w:val="18"/>
              </w:rPr>
              <w:t>Compass Points International, Inc.</w:t>
            </w:r>
          </w:p>
        </w:tc>
      </w:tr>
      <w:tr>
        <w:trPr>
          <w:trHeight w:val="300" w:hRule="atLeast"/>
        </w:trPr>
        <w:tc>
          <w:tcPr>
            <w:tcW w:w="5241" w:type="dxa"/>
          </w:tcPr>
          <w:p>
            <w:pPr>
              <w:pStyle w:val="TableParagraph"/>
              <w:spacing w:before="53"/>
              <w:ind w:left="179" w:right="177"/>
              <w:rPr>
                <w:b/>
                <w:sz w:val="18"/>
              </w:rPr>
            </w:pPr>
            <w:r>
              <w:rPr>
                <w:b/>
                <w:sz w:val="18"/>
              </w:rPr>
              <w:t>Concordia Charter School</w:t>
            </w:r>
          </w:p>
        </w:tc>
      </w:tr>
      <w:tr>
        <w:trPr>
          <w:trHeight w:val="300" w:hRule="atLeast"/>
        </w:trPr>
        <w:tc>
          <w:tcPr>
            <w:tcW w:w="5241" w:type="dxa"/>
          </w:tcPr>
          <w:p>
            <w:pPr>
              <w:pStyle w:val="TableParagraph"/>
              <w:spacing w:before="50"/>
              <w:ind w:left="179" w:right="178"/>
              <w:rPr>
                <w:b/>
                <w:sz w:val="18"/>
              </w:rPr>
            </w:pPr>
            <w:r>
              <w:rPr>
                <w:b/>
                <w:sz w:val="18"/>
              </w:rPr>
              <w:t>Country Gardens Charter Schools</w:t>
            </w:r>
          </w:p>
        </w:tc>
      </w:tr>
      <w:tr>
        <w:trPr>
          <w:trHeight w:val="300" w:hRule="atLeast"/>
        </w:trPr>
        <w:tc>
          <w:tcPr>
            <w:tcW w:w="5241" w:type="dxa"/>
          </w:tcPr>
          <w:p>
            <w:pPr>
              <w:pStyle w:val="TableParagraph"/>
              <w:spacing w:before="43"/>
              <w:ind w:left="179" w:right="178"/>
              <w:rPr>
                <w:b/>
                <w:sz w:val="18"/>
              </w:rPr>
            </w:pPr>
            <w:r>
              <w:rPr>
                <w:b/>
                <w:sz w:val="18"/>
              </w:rPr>
              <w:t>Desert Heights Charter Schools</w:t>
            </w:r>
          </w:p>
        </w:tc>
      </w:tr>
      <w:tr>
        <w:trPr>
          <w:trHeight w:val="300" w:hRule="atLeast"/>
        </w:trPr>
        <w:tc>
          <w:tcPr>
            <w:tcW w:w="5241" w:type="dxa"/>
          </w:tcPr>
          <w:p>
            <w:pPr>
              <w:pStyle w:val="TableParagraph"/>
              <w:spacing w:before="43"/>
              <w:ind w:left="179" w:right="178"/>
              <w:rPr>
                <w:b/>
                <w:sz w:val="18"/>
              </w:rPr>
            </w:pPr>
            <w:r>
              <w:rPr>
                <w:b/>
                <w:sz w:val="18"/>
              </w:rPr>
              <w:t>Desert Sky Community School, Inc.</w:t>
            </w:r>
          </w:p>
        </w:tc>
      </w:tr>
      <w:tr>
        <w:trPr>
          <w:trHeight w:val="300" w:hRule="atLeast"/>
        </w:trPr>
        <w:tc>
          <w:tcPr>
            <w:tcW w:w="5241" w:type="dxa"/>
          </w:tcPr>
          <w:p>
            <w:pPr>
              <w:pStyle w:val="TableParagraph"/>
              <w:spacing w:before="43"/>
              <w:ind w:left="179" w:right="179"/>
              <w:rPr>
                <w:b/>
                <w:sz w:val="18"/>
              </w:rPr>
            </w:pPr>
            <w:r>
              <w:rPr>
                <w:b/>
                <w:sz w:val="18"/>
              </w:rPr>
              <w:t>Desert Springs Academy, Inc.</w:t>
            </w:r>
          </w:p>
        </w:tc>
      </w:tr>
      <w:tr>
        <w:trPr>
          <w:trHeight w:val="280" w:hRule="atLeast"/>
        </w:trPr>
        <w:tc>
          <w:tcPr>
            <w:tcW w:w="5241" w:type="dxa"/>
          </w:tcPr>
          <w:p>
            <w:pPr>
              <w:pStyle w:val="TableParagraph"/>
              <w:spacing w:before="43"/>
              <w:ind w:left="179" w:right="179"/>
              <w:rPr>
                <w:b/>
                <w:sz w:val="18"/>
              </w:rPr>
            </w:pPr>
            <w:r>
              <w:rPr>
                <w:b/>
                <w:sz w:val="18"/>
              </w:rPr>
              <w:t>Desert Star Academy, Inc.</w:t>
            </w:r>
          </w:p>
        </w:tc>
      </w:tr>
      <w:tr>
        <w:trPr>
          <w:trHeight w:val="280" w:hRule="atLeast"/>
        </w:trPr>
        <w:tc>
          <w:tcPr>
            <w:tcW w:w="5241" w:type="dxa"/>
          </w:tcPr>
          <w:p>
            <w:pPr>
              <w:pStyle w:val="TableParagraph"/>
              <w:spacing w:before="40"/>
              <w:ind w:left="179" w:right="175"/>
              <w:rPr>
                <w:b/>
                <w:sz w:val="18"/>
              </w:rPr>
            </w:pPr>
            <w:r>
              <w:rPr>
                <w:b/>
                <w:sz w:val="18"/>
              </w:rPr>
              <w:t>Desert Star Community School</w:t>
            </w:r>
          </w:p>
        </w:tc>
      </w:tr>
      <w:tr>
        <w:trPr>
          <w:trHeight w:val="300" w:hRule="atLeast"/>
        </w:trPr>
        <w:tc>
          <w:tcPr>
            <w:tcW w:w="5241" w:type="dxa"/>
          </w:tcPr>
          <w:p>
            <w:pPr>
              <w:pStyle w:val="TableParagraph"/>
              <w:spacing w:before="43"/>
              <w:ind w:left="179" w:right="178"/>
              <w:rPr>
                <w:b/>
                <w:sz w:val="18"/>
              </w:rPr>
            </w:pPr>
            <w:r>
              <w:rPr>
                <w:b/>
                <w:sz w:val="18"/>
              </w:rPr>
              <w:t>Destiny School, Inc.</w:t>
            </w:r>
          </w:p>
        </w:tc>
      </w:tr>
      <w:tr>
        <w:trPr>
          <w:trHeight w:val="300" w:hRule="atLeast"/>
        </w:trPr>
        <w:tc>
          <w:tcPr>
            <w:tcW w:w="5241" w:type="dxa"/>
          </w:tcPr>
          <w:p>
            <w:pPr>
              <w:pStyle w:val="TableParagraph"/>
              <w:spacing w:before="47"/>
              <w:ind w:left="179" w:right="169"/>
              <w:rPr>
                <w:b/>
                <w:sz w:val="18"/>
              </w:rPr>
            </w:pPr>
            <w:r>
              <w:rPr>
                <w:b/>
                <w:sz w:val="18"/>
              </w:rPr>
              <w:t>Discovery Plus Academy</w:t>
            </w:r>
          </w:p>
        </w:tc>
      </w:tr>
      <w:tr>
        <w:trPr>
          <w:trHeight w:val="300" w:hRule="atLeast"/>
        </w:trPr>
        <w:tc>
          <w:tcPr>
            <w:tcW w:w="5241" w:type="dxa"/>
          </w:tcPr>
          <w:p>
            <w:pPr>
              <w:pStyle w:val="TableParagraph"/>
              <w:spacing w:before="43"/>
              <w:ind w:left="179" w:right="179"/>
              <w:rPr>
                <w:b/>
                <w:sz w:val="18"/>
              </w:rPr>
            </w:pPr>
            <w:r>
              <w:rPr>
                <w:b/>
                <w:sz w:val="18"/>
              </w:rPr>
              <w:t>East Valley Educational Services, L.P.</w:t>
            </w:r>
          </w:p>
        </w:tc>
      </w:tr>
      <w:tr>
        <w:trPr>
          <w:trHeight w:val="320" w:hRule="atLeast"/>
        </w:trPr>
        <w:tc>
          <w:tcPr>
            <w:tcW w:w="5241" w:type="dxa"/>
          </w:tcPr>
          <w:p>
            <w:pPr>
              <w:pStyle w:val="TableParagraph"/>
              <w:spacing w:before="57"/>
              <w:ind w:left="179" w:right="177"/>
              <w:rPr>
                <w:b/>
                <w:sz w:val="18"/>
              </w:rPr>
            </w:pPr>
            <w:r>
              <w:rPr>
                <w:b/>
                <w:sz w:val="18"/>
              </w:rPr>
              <w:t>Ed Ahead</w:t>
            </w:r>
          </w:p>
        </w:tc>
      </w:tr>
      <w:tr>
        <w:trPr>
          <w:trHeight w:val="300" w:hRule="atLeast"/>
        </w:trPr>
        <w:tc>
          <w:tcPr>
            <w:tcW w:w="5241" w:type="dxa"/>
          </w:tcPr>
          <w:p>
            <w:pPr>
              <w:pStyle w:val="TableParagraph"/>
              <w:spacing w:before="53"/>
              <w:ind w:left="179" w:right="179"/>
              <w:rPr>
                <w:b/>
                <w:sz w:val="18"/>
              </w:rPr>
            </w:pPr>
            <w:r>
              <w:rPr>
                <w:b/>
                <w:sz w:val="18"/>
              </w:rPr>
              <w:t>El Pueblo Integral - Teaching and Learning Collaborative</w:t>
            </w:r>
          </w:p>
        </w:tc>
      </w:tr>
      <w:tr>
        <w:trPr>
          <w:trHeight w:val="300" w:hRule="atLeast"/>
        </w:trPr>
        <w:tc>
          <w:tcPr>
            <w:tcW w:w="5241" w:type="dxa"/>
          </w:tcPr>
          <w:p>
            <w:pPr>
              <w:pStyle w:val="TableParagraph"/>
              <w:spacing w:before="50"/>
              <w:ind w:left="179" w:right="173"/>
              <w:rPr>
                <w:b/>
                <w:sz w:val="18"/>
              </w:rPr>
            </w:pPr>
            <w:r>
              <w:rPr>
                <w:b/>
                <w:sz w:val="18"/>
              </w:rPr>
              <w:t>Empower College Prep</w:t>
            </w:r>
          </w:p>
        </w:tc>
      </w:tr>
      <w:tr>
        <w:trPr>
          <w:trHeight w:val="300" w:hRule="atLeast"/>
        </w:trPr>
        <w:tc>
          <w:tcPr>
            <w:tcW w:w="5241" w:type="dxa"/>
          </w:tcPr>
          <w:p>
            <w:pPr>
              <w:pStyle w:val="TableParagraph"/>
              <w:spacing w:before="43"/>
              <w:ind w:left="179" w:right="175"/>
              <w:rPr>
                <w:b/>
                <w:sz w:val="18"/>
              </w:rPr>
            </w:pPr>
            <w:r>
              <w:rPr>
                <w:b/>
                <w:sz w:val="18"/>
              </w:rPr>
              <w:t>Fit Kids, Inc.</w:t>
            </w:r>
          </w:p>
        </w:tc>
      </w:tr>
      <w:tr>
        <w:trPr>
          <w:trHeight w:val="300" w:hRule="atLeast"/>
        </w:trPr>
        <w:tc>
          <w:tcPr>
            <w:tcW w:w="5241" w:type="dxa"/>
          </w:tcPr>
          <w:p>
            <w:pPr>
              <w:pStyle w:val="TableParagraph"/>
              <w:spacing w:before="43"/>
              <w:ind w:left="179" w:right="179"/>
              <w:rPr>
                <w:b/>
                <w:sz w:val="18"/>
              </w:rPr>
            </w:pPr>
            <w:r>
              <w:rPr>
                <w:b/>
                <w:sz w:val="18"/>
              </w:rPr>
              <w:t>Flagstaff Arts and Leadership Academy, Inc.</w:t>
            </w:r>
          </w:p>
        </w:tc>
      </w:tr>
      <w:tr>
        <w:trPr>
          <w:trHeight w:val="280" w:hRule="atLeast"/>
        </w:trPr>
        <w:tc>
          <w:tcPr>
            <w:tcW w:w="5241" w:type="dxa"/>
          </w:tcPr>
          <w:p>
            <w:pPr>
              <w:pStyle w:val="TableParagraph"/>
              <w:spacing w:before="43"/>
              <w:ind w:left="179" w:right="166"/>
              <w:rPr>
                <w:b/>
                <w:sz w:val="18"/>
              </w:rPr>
            </w:pPr>
            <w:r>
              <w:rPr>
                <w:b/>
                <w:sz w:val="18"/>
              </w:rPr>
              <w:t>Flagstaff Junior Academy</w:t>
            </w:r>
          </w:p>
        </w:tc>
      </w:tr>
      <w:tr>
        <w:trPr>
          <w:trHeight w:val="300" w:hRule="atLeast"/>
        </w:trPr>
        <w:tc>
          <w:tcPr>
            <w:tcW w:w="5241" w:type="dxa"/>
          </w:tcPr>
          <w:p>
            <w:pPr>
              <w:pStyle w:val="TableParagraph"/>
              <w:spacing w:before="40"/>
              <w:ind w:left="179" w:right="179"/>
              <w:rPr>
                <w:b/>
                <w:sz w:val="18"/>
              </w:rPr>
            </w:pPr>
            <w:r>
              <w:rPr>
                <w:b/>
                <w:sz w:val="18"/>
              </w:rPr>
              <w:t>Florence Crittenton Services of Arizona, Inc.</w:t>
            </w:r>
          </w:p>
        </w:tc>
      </w:tr>
      <w:tr>
        <w:trPr>
          <w:trHeight w:val="300" w:hRule="atLeast"/>
        </w:trPr>
        <w:tc>
          <w:tcPr>
            <w:tcW w:w="5241" w:type="dxa"/>
          </w:tcPr>
          <w:p>
            <w:pPr>
              <w:pStyle w:val="TableParagraph"/>
              <w:spacing w:before="47"/>
              <w:ind w:left="179" w:right="176"/>
              <w:rPr>
                <w:b/>
                <w:sz w:val="18"/>
              </w:rPr>
            </w:pPr>
            <w:r>
              <w:rPr>
                <w:b/>
                <w:sz w:val="18"/>
              </w:rPr>
              <w:t>Fountain Hills Charter School, Inc.</w:t>
            </w:r>
          </w:p>
        </w:tc>
      </w:tr>
      <w:tr>
        <w:trPr>
          <w:trHeight w:val="320" w:hRule="atLeast"/>
        </w:trPr>
        <w:tc>
          <w:tcPr>
            <w:tcW w:w="5241" w:type="dxa"/>
          </w:tcPr>
          <w:p>
            <w:pPr>
              <w:pStyle w:val="TableParagraph"/>
              <w:spacing w:before="56"/>
              <w:ind w:left="179" w:right="179"/>
              <w:rPr>
                <w:b/>
                <w:sz w:val="18"/>
              </w:rPr>
            </w:pPr>
            <w:r>
              <w:rPr>
                <w:b/>
                <w:sz w:val="18"/>
              </w:rPr>
              <w:t>Franklin Phonetic Primary School, Inc.</w:t>
            </w:r>
          </w:p>
        </w:tc>
      </w:tr>
      <w:tr>
        <w:trPr>
          <w:trHeight w:val="300" w:hRule="atLeast"/>
        </w:trPr>
        <w:tc>
          <w:tcPr>
            <w:tcW w:w="5241" w:type="dxa"/>
          </w:tcPr>
          <w:p>
            <w:pPr>
              <w:pStyle w:val="TableParagraph"/>
              <w:spacing w:before="53"/>
              <w:ind w:left="179" w:right="178"/>
              <w:rPr>
                <w:b/>
                <w:sz w:val="18"/>
              </w:rPr>
            </w:pPr>
            <w:r>
              <w:rPr>
                <w:b/>
                <w:sz w:val="18"/>
              </w:rPr>
              <w:t>Freedom Academy, Inc.</w:t>
            </w:r>
          </w:p>
        </w:tc>
      </w:tr>
      <w:tr>
        <w:trPr>
          <w:trHeight w:val="300" w:hRule="atLeast"/>
        </w:trPr>
        <w:tc>
          <w:tcPr>
            <w:tcW w:w="5241" w:type="dxa"/>
          </w:tcPr>
          <w:p>
            <w:pPr>
              <w:pStyle w:val="TableParagraph"/>
              <w:spacing w:before="50"/>
              <w:ind w:left="179" w:right="175"/>
              <w:rPr>
                <w:b/>
                <w:sz w:val="18"/>
              </w:rPr>
            </w:pPr>
            <w:r>
              <w:rPr>
                <w:b/>
                <w:sz w:val="18"/>
              </w:rPr>
              <w:t>Gem Charter School, Inc.</w:t>
            </w:r>
          </w:p>
        </w:tc>
      </w:tr>
      <w:tr>
        <w:trPr>
          <w:trHeight w:val="300" w:hRule="atLeast"/>
        </w:trPr>
        <w:tc>
          <w:tcPr>
            <w:tcW w:w="5241" w:type="dxa"/>
          </w:tcPr>
          <w:p>
            <w:pPr>
              <w:pStyle w:val="TableParagraph"/>
              <w:spacing w:before="43"/>
              <w:ind w:left="179" w:right="176"/>
              <w:rPr>
                <w:b/>
                <w:sz w:val="18"/>
              </w:rPr>
            </w:pPr>
            <w:r>
              <w:rPr>
                <w:b/>
                <w:sz w:val="18"/>
              </w:rPr>
              <w:t>Genesis Program, Inc.</w:t>
            </w:r>
          </w:p>
        </w:tc>
      </w:tr>
      <w:tr>
        <w:trPr>
          <w:trHeight w:val="300" w:hRule="atLeast"/>
        </w:trPr>
        <w:tc>
          <w:tcPr>
            <w:tcW w:w="5241" w:type="dxa"/>
          </w:tcPr>
          <w:p>
            <w:pPr>
              <w:pStyle w:val="TableParagraph"/>
              <w:spacing w:before="43"/>
              <w:ind w:left="179" w:right="178"/>
              <w:rPr>
                <w:b/>
                <w:sz w:val="18"/>
              </w:rPr>
            </w:pPr>
            <w:r>
              <w:rPr>
                <w:b/>
                <w:sz w:val="18"/>
              </w:rPr>
              <w:t>Great Expectations Academy, Inc.</w:t>
            </w:r>
          </w:p>
        </w:tc>
      </w:tr>
      <w:tr>
        <w:trPr>
          <w:trHeight w:val="280" w:hRule="atLeast"/>
        </w:trPr>
        <w:tc>
          <w:tcPr>
            <w:tcW w:w="5241" w:type="dxa"/>
          </w:tcPr>
          <w:p>
            <w:pPr>
              <w:pStyle w:val="TableParagraph"/>
              <w:spacing w:before="43"/>
              <w:ind w:left="179" w:right="179"/>
              <w:rPr>
                <w:b/>
                <w:sz w:val="18"/>
              </w:rPr>
            </w:pPr>
            <w:r>
              <w:rPr>
                <w:b/>
                <w:sz w:val="18"/>
              </w:rPr>
              <w:t>Ha:san Educational Services</w:t>
            </w:r>
          </w:p>
        </w:tc>
      </w:tr>
      <w:tr>
        <w:trPr>
          <w:trHeight w:val="280" w:hRule="atLeast"/>
        </w:trPr>
        <w:tc>
          <w:tcPr>
            <w:tcW w:w="5241" w:type="dxa"/>
          </w:tcPr>
          <w:p>
            <w:pPr>
              <w:pStyle w:val="TableParagraph"/>
              <w:spacing w:before="40"/>
              <w:ind w:left="179" w:right="176"/>
              <w:rPr>
                <w:b/>
                <w:sz w:val="18"/>
              </w:rPr>
            </w:pPr>
            <w:r>
              <w:rPr>
                <w:b/>
                <w:sz w:val="18"/>
              </w:rPr>
              <w:t>Haven Montessori Children's House, Inc.</w:t>
            </w:r>
          </w:p>
        </w:tc>
      </w:tr>
      <w:tr>
        <w:trPr>
          <w:trHeight w:val="300" w:hRule="atLeast"/>
        </w:trPr>
        <w:tc>
          <w:tcPr>
            <w:tcW w:w="5241" w:type="dxa"/>
          </w:tcPr>
          <w:p>
            <w:pPr>
              <w:pStyle w:val="TableParagraph"/>
              <w:spacing w:before="43"/>
              <w:ind w:left="179" w:right="167"/>
              <w:rPr>
                <w:b/>
                <w:sz w:val="18"/>
              </w:rPr>
            </w:pPr>
            <w:r>
              <w:rPr>
                <w:b/>
                <w:sz w:val="18"/>
              </w:rPr>
              <w:t>James Madison Preparatory</w:t>
            </w:r>
          </w:p>
        </w:tc>
      </w:tr>
      <w:tr>
        <w:trPr>
          <w:trHeight w:val="300" w:hRule="atLeast"/>
        </w:trPr>
        <w:tc>
          <w:tcPr>
            <w:tcW w:w="5241" w:type="dxa"/>
          </w:tcPr>
          <w:p>
            <w:pPr>
              <w:pStyle w:val="TableParagraph"/>
              <w:spacing w:before="43"/>
              <w:ind w:left="178" w:right="179"/>
              <w:rPr>
                <w:b/>
                <w:sz w:val="18"/>
              </w:rPr>
            </w:pPr>
            <w:r>
              <w:rPr>
                <w:b/>
                <w:sz w:val="18"/>
              </w:rPr>
              <w:t>Kingman Academy of Learning</w:t>
            </w:r>
          </w:p>
        </w:tc>
      </w:tr>
      <w:tr>
        <w:trPr>
          <w:trHeight w:val="300" w:hRule="atLeast"/>
        </w:trPr>
        <w:tc>
          <w:tcPr>
            <w:tcW w:w="5241" w:type="dxa"/>
          </w:tcPr>
          <w:p>
            <w:pPr>
              <w:pStyle w:val="TableParagraph"/>
              <w:spacing w:before="47"/>
              <w:ind w:left="179" w:right="176"/>
              <w:rPr>
                <w:b/>
                <w:sz w:val="18"/>
              </w:rPr>
            </w:pPr>
            <w:r>
              <w:rPr>
                <w:b/>
                <w:sz w:val="18"/>
              </w:rPr>
              <w:t>La Tierra Community School, Inc.</w:t>
            </w:r>
          </w:p>
        </w:tc>
      </w:tr>
      <w:tr>
        <w:trPr>
          <w:trHeight w:val="280" w:hRule="atLeast"/>
        </w:trPr>
        <w:tc>
          <w:tcPr>
            <w:tcW w:w="5241" w:type="dxa"/>
          </w:tcPr>
          <w:p>
            <w:pPr>
              <w:pStyle w:val="TableParagraph"/>
              <w:spacing w:before="43"/>
              <w:ind w:left="179" w:right="176"/>
              <w:rPr>
                <w:b/>
                <w:sz w:val="18"/>
              </w:rPr>
            </w:pPr>
            <w:r>
              <w:rPr>
                <w:b/>
                <w:sz w:val="18"/>
              </w:rPr>
              <w:t>Liberty High School</w:t>
            </w:r>
          </w:p>
        </w:tc>
      </w:tr>
      <w:tr>
        <w:trPr>
          <w:trHeight w:val="300" w:hRule="atLeast"/>
        </w:trPr>
        <w:tc>
          <w:tcPr>
            <w:tcW w:w="5241" w:type="dxa"/>
          </w:tcPr>
          <w:p>
            <w:pPr>
              <w:pStyle w:val="TableParagraph"/>
              <w:spacing w:before="40"/>
              <w:ind w:left="179" w:right="175"/>
              <w:rPr>
                <w:b/>
                <w:sz w:val="18"/>
              </w:rPr>
            </w:pPr>
            <w:r>
              <w:rPr>
                <w:b/>
                <w:sz w:val="18"/>
              </w:rPr>
              <w:t>Madison Highland Prep.</w:t>
            </w:r>
          </w:p>
        </w:tc>
      </w:tr>
      <w:tr>
        <w:trPr>
          <w:trHeight w:val="280" w:hRule="atLeast"/>
        </w:trPr>
        <w:tc>
          <w:tcPr>
            <w:tcW w:w="5241" w:type="dxa"/>
          </w:tcPr>
          <w:p>
            <w:pPr>
              <w:pStyle w:val="TableParagraph"/>
              <w:spacing w:before="47"/>
              <w:ind w:left="179" w:right="176"/>
              <w:rPr>
                <w:b/>
                <w:sz w:val="18"/>
              </w:rPr>
            </w:pPr>
            <w:r>
              <w:rPr>
                <w:b/>
                <w:sz w:val="18"/>
              </w:rPr>
              <w:t>Mary Ellen Halvorson Educational Foundation</w:t>
            </w:r>
          </w:p>
        </w:tc>
      </w:tr>
      <w:tr>
        <w:trPr>
          <w:trHeight w:val="240" w:hRule="atLeast"/>
        </w:trPr>
        <w:tc>
          <w:tcPr>
            <w:tcW w:w="5241" w:type="dxa"/>
          </w:tcPr>
          <w:p>
            <w:pPr>
              <w:pStyle w:val="TableParagraph"/>
              <w:spacing w:line="187" w:lineRule="exact" w:before="36"/>
              <w:ind w:left="179" w:right="173"/>
              <w:rPr>
                <w:b/>
                <w:sz w:val="18"/>
              </w:rPr>
            </w:pPr>
            <w:r>
              <w:rPr>
                <w:b/>
                <w:sz w:val="18"/>
              </w:rPr>
              <w:t>Masada Charter School, Inc.</w:t>
            </w:r>
          </w:p>
        </w:tc>
      </w:tr>
    </w:tbl>
    <w:p>
      <w:pPr>
        <w:spacing w:after="0" w:line="187" w:lineRule="exact"/>
        <w:rPr>
          <w:sz w:val="18"/>
        </w:rPr>
        <w:sectPr>
          <w:pgSz w:w="12240" w:h="15840"/>
          <w:pgMar w:header="740" w:footer="1002" w:top="940" w:bottom="1200" w:left="1720" w:right="1720"/>
        </w:sectPr>
      </w:pPr>
    </w:p>
    <w:p>
      <w:pPr>
        <w:pStyle w:val="BodyText"/>
        <w:rPr>
          <w:rFonts w:ascii="Times New Roman"/>
          <w:sz w:val="20"/>
        </w:rPr>
      </w:pPr>
    </w:p>
    <w:p>
      <w:pPr>
        <w:pStyle w:val="BodyText"/>
        <w:rPr>
          <w:rFonts w:ascii="Times New Roman"/>
          <w:sz w:val="20"/>
        </w:rPr>
      </w:pPr>
    </w:p>
    <w:p>
      <w:pPr>
        <w:pStyle w:val="BodyText"/>
        <w:spacing w:before="5"/>
        <w:rPr>
          <w:rFonts w:ascii="Times New Roman"/>
          <w:sz w:val="11"/>
        </w:rPr>
      </w:pPr>
    </w:p>
    <w:tbl>
      <w:tblPr>
        <w:tblW w:w="0" w:type="auto"/>
        <w:jc w:val="left"/>
        <w:tblInd w:w="1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80"/>
      </w:tblGrid>
      <w:tr>
        <w:trPr>
          <w:trHeight w:val="320" w:hRule="atLeast"/>
        </w:trPr>
        <w:tc>
          <w:tcPr>
            <w:tcW w:w="4680" w:type="dxa"/>
          </w:tcPr>
          <w:p>
            <w:pPr>
              <w:pStyle w:val="TableParagraph"/>
              <w:spacing w:line="201" w:lineRule="exact"/>
              <w:ind w:left="179" w:right="174"/>
              <w:rPr>
                <w:b/>
                <w:sz w:val="18"/>
              </w:rPr>
            </w:pPr>
            <w:r>
              <w:rPr>
                <w:b/>
                <w:sz w:val="18"/>
              </w:rPr>
              <w:t>Metropolitan Arts Institute</w:t>
            </w:r>
          </w:p>
        </w:tc>
      </w:tr>
      <w:tr>
        <w:trPr>
          <w:trHeight w:val="360" w:hRule="atLeast"/>
        </w:trPr>
        <w:tc>
          <w:tcPr>
            <w:tcW w:w="4680" w:type="dxa"/>
          </w:tcPr>
          <w:p>
            <w:pPr>
              <w:pStyle w:val="TableParagraph"/>
              <w:spacing w:before="113"/>
              <w:ind w:left="179" w:right="176"/>
              <w:rPr>
                <w:b/>
                <w:sz w:val="18"/>
              </w:rPr>
            </w:pPr>
            <w:r>
              <w:rPr>
                <w:b/>
                <w:sz w:val="18"/>
              </w:rPr>
              <w:t>Midtown Primary School</w:t>
            </w:r>
          </w:p>
        </w:tc>
      </w:tr>
      <w:tr>
        <w:trPr>
          <w:trHeight w:val="380" w:hRule="atLeast"/>
        </w:trPr>
        <w:tc>
          <w:tcPr>
            <w:tcW w:w="4680" w:type="dxa"/>
          </w:tcPr>
          <w:p>
            <w:pPr>
              <w:pStyle w:val="TableParagraph"/>
              <w:spacing w:before="53"/>
              <w:ind w:left="179" w:right="176"/>
              <w:rPr>
                <w:b/>
                <w:sz w:val="18"/>
              </w:rPr>
            </w:pPr>
            <w:r>
              <w:rPr>
                <w:b/>
                <w:sz w:val="18"/>
              </w:rPr>
              <w:t>Milestones Charter School</w:t>
            </w:r>
          </w:p>
        </w:tc>
      </w:tr>
      <w:tr>
        <w:trPr>
          <w:trHeight w:val="420" w:hRule="atLeast"/>
        </w:trPr>
        <w:tc>
          <w:tcPr>
            <w:tcW w:w="4680" w:type="dxa"/>
          </w:tcPr>
          <w:p>
            <w:pPr>
              <w:pStyle w:val="TableParagraph"/>
              <w:spacing w:before="114"/>
              <w:ind w:left="179" w:right="177"/>
              <w:rPr>
                <w:b/>
                <w:sz w:val="18"/>
              </w:rPr>
            </w:pPr>
            <w:r>
              <w:rPr>
                <w:b/>
                <w:sz w:val="18"/>
              </w:rPr>
              <w:t>Mingus Springs Charter School, Inc.</w:t>
            </w:r>
          </w:p>
        </w:tc>
      </w:tr>
      <w:tr>
        <w:trPr>
          <w:trHeight w:val="360" w:hRule="atLeast"/>
        </w:trPr>
        <w:tc>
          <w:tcPr>
            <w:tcW w:w="4680" w:type="dxa"/>
          </w:tcPr>
          <w:p>
            <w:pPr>
              <w:pStyle w:val="TableParagraph"/>
              <w:spacing w:before="109"/>
              <w:ind w:left="179" w:right="174"/>
              <w:rPr>
                <w:b/>
                <w:sz w:val="18"/>
              </w:rPr>
            </w:pPr>
            <w:r>
              <w:rPr>
                <w:b/>
                <w:sz w:val="18"/>
              </w:rPr>
              <w:t>Mohave Accelerated Elementary School, Inc.</w:t>
            </w:r>
          </w:p>
        </w:tc>
      </w:tr>
      <w:tr>
        <w:trPr>
          <w:trHeight w:val="300" w:hRule="atLeast"/>
        </w:trPr>
        <w:tc>
          <w:tcPr>
            <w:tcW w:w="4680" w:type="dxa"/>
          </w:tcPr>
          <w:p>
            <w:pPr>
              <w:pStyle w:val="TableParagraph"/>
              <w:spacing w:before="43"/>
              <w:ind w:left="179" w:right="174"/>
              <w:rPr>
                <w:b/>
                <w:sz w:val="18"/>
              </w:rPr>
            </w:pPr>
            <w:r>
              <w:rPr>
                <w:b/>
                <w:sz w:val="18"/>
              </w:rPr>
              <w:t>Montessori House, Inc.</w:t>
            </w:r>
          </w:p>
        </w:tc>
      </w:tr>
      <w:tr>
        <w:trPr>
          <w:trHeight w:val="300" w:hRule="atLeast"/>
        </w:trPr>
        <w:tc>
          <w:tcPr>
            <w:tcW w:w="4680" w:type="dxa"/>
          </w:tcPr>
          <w:p>
            <w:pPr>
              <w:pStyle w:val="TableParagraph"/>
              <w:spacing w:before="43"/>
              <w:ind w:left="179" w:right="172"/>
              <w:rPr>
                <w:b/>
                <w:sz w:val="18"/>
              </w:rPr>
            </w:pPr>
            <w:r>
              <w:rPr>
                <w:b/>
                <w:sz w:val="18"/>
              </w:rPr>
              <w:t>Montessori Schoolhouse of Tucson, Inc.</w:t>
            </w:r>
          </w:p>
        </w:tc>
      </w:tr>
      <w:tr>
        <w:trPr>
          <w:trHeight w:val="300" w:hRule="atLeast"/>
        </w:trPr>
        <w:tc>
          <w:tcPr>
            <w:tcW w:w="4680" w:type="dxa"/>
          </w:tcPr>
          <w:p>
            <w:pPr>
              <w:pStyle w:val="TableParagraph"/>
              <w:spacing w:before="43"/>
              <w:ind w:left="179" w:right="174"/>
              <w:rPr>
                <w:b/>
                <w:sz w:val="18"/>
              </w:rPr>
            </w:pPr>
            <w:r>
              <w:rPr>
                <w:b/>
                <w:sz w:val="18"/>
              </w:rPr>
              <w:t>Morrison Education Group, Inc.</w:t>
            </w:r>
          </w:p>
        </w:tc>
      </w:tr>
      <w:tr>
        <w:trPr>
          <w:trHeight w:val="320" w:hRule="atLeast"/>
        </w:trPr>
        <w:tc>
          <w:tcPr>
            <w:tcW w:w="4680" w:type="dxa"/>
          </w:tcPr>
          <w:p>
            <w:pPr>
              <w:pStyle w:val="TableParagraph"/>
              <w:spacing w:before="57"/>
              <w:ind w:left="179" w:right="172"/>
              <w:rPr>
                <w:b/>
                <w:sz w:val="18"/>
              </w:rPr>
            </w:pPr>
            <w:r>
              <w:rPr>
                <w:b/>
                <w:sz w:val="18"/>
              </w:rPr>
              <w:t>Mountain Oak School, Inc.</w:t>
            </w:r>
          </w:p>
        </w:tc>
      </w:tr>
      <w:tr>
        <w:trPr>
          <w:trHeight w:val="300" w:hRule="atLeast"/>
        </w:trPr>
        <w:tc>
          <w:tcPr>
            <w:tcW w:w="4680" w:type="dxa"/>
          </w:tcPr>
          <w:p>
            <w:pPr>
              <w:pStyle w:val="TableParagraph"/>
              <w:spacing w:before="50"/>
              <w:ind w:left="179" w:right="173"/>
              <w:rPr>
                <w:b/>
                <w:sz w:val="18"/>
              </w:rPr>
            </w:pPr>
            <w:r>
              <w:rPr>
                <w:b/>
                <w:sz w:val="18"/>
              </w:rPr>
              <w:t>Mountain School, Inc.</w:t>
            </w:r>
          </w:p>
        </w:tc>
      </w:tr>
      <w:tr>
        <w:trPr>
          <w:trHeight w:val="300" w:hRule="atLeast"/>
        </w:trPr>
        <w:tc>
          <w:tcPr>
            <w:tcW w:w="4680" w:type="dxa"/>
          </w:tcPr>
          <w:p>
            <w:pPr>
              <w:pStyle w:val="TableParagraph"/>
              <w:spacing w:before="43"/>
              <w:ind w:left="179" w:right="177"/>
              <w:rPr>
                <w:b/>
                <w:sz w:val="18"/>
              </w:rPr>
            </w:pPr>
            <w:r>
              <w:rPr>
                <w:b/>
                <w:sz w:val="18"/>
              </w:rPr>
              <w:t>New Horizon School for the Performing Arts</w:t>
            </w:r>
          </w:p>
        </w:tc>
      </w:tr>
      <w:tr>
        <w:trPr>
          <w:trHeight w:val="300" w:hRule="atLeast"/>
        </w:trPr>
        <w:tc>
          <w:tcPr>
            <w:tcW w:w="4680" w:type="dxa"/>
          </w:tcPr>
          <w:p>
            <w:pPr>
              <w:pStyle w:val="TableParagraph"/>
              <w:spacing w:before="43"/>
              <w:ind w:left="179" w:right="173"/>
              <w:rPr>
                <w:b/>
                <w:sz w:val="18"/>
              </w:rPr>
            </w:pPr>
            <w:r>
              <w:rPr>
                <w:b/>
                <w:sz w:val="18"/>
              </w:rPr>
              <w:t>New School for the Arts</w:t>
            </w:r>
          </w:p>
        </w:tc>
      </w:tr>
      <w:tr>
        <w:trPr>
          <w:trHeight w:val="300" w:hRule="atLeast"/>
        </w:trPr>
        <w:tc>
          <w:tcPr>
            <w:tcW w:w="4680" w:type="dxa"/>
          </w:tcPr>
          <w:p>
            <w:pPr>
              <w:pStyle w:val="TableParagraph"/>
              <w:spacing w:before="43"/>
              <w:ind w:left="179" w:right="173"/>
              <w:rPr>
                <w:b/>
                <w:sz w:val="18"/>
              </w:rPr>
            </w:pPr>
            <w:r>
              <w:rPr>
                <w:b/>
                <w:sz w:val="18"/>
              </w:rPr>
              <w:t>New World Educational Center</w:t>
            </w:r>
          </w:p>
        </w:tc>
      </w:tr>
      <w:tr>
        <w:trPr>
          <w:trHeight w:val="280" w:hRule="atLeast"/>
        </w:trPr>
        <w:tc>
          <w:tcPr>
            <w:tcW w:w="4680" w:type="dxa"/>
          </w:tcPr>
          <w:p>
            <w:pPr>
              <w:pStyle w:val="TableParagraph"/>
              <w:spacing w:before="43"/>
              <w:ind w:left="179" w:right="175"/>
              <w:rPr>
                <w:b/>
                <w:sz w:val="18"/>
              </w:rPr>
            </w:pPr>
            <w:r>
              <w:rPr>
                <w:b/>
                <w:sz w:val="18"/>
              </w:rPr>
              <w:t>Noah Webster Schools - Pima</w:t>
            </w:r>
          </w:p>
        </w:tc>
      </w:tr>
      <w:tr>
        <w:trPr>
          <w:trHeight w:val="280" w:hRule="atLeast"/>
        </w:trPr>
        <w:tc>
          <w:tcPr>
            <w:tcW w:w="4680" w:type="dxa"/>
          </w:tcPr>
          <w:p>
            <w:pPr>
              <w:pStyle w:val="TableParagraph"/>
              <w:spacing w:before="40"/>
              <w:ind w:left="179" w:right="165"/>
              <w:rPr>
                <w:b/>
                <w:sz w:val="18"/>
              </w:rPr>
            </w:pPr>
            <w:r>
              <w:rPr>
                <w:b/>
                <w:sz w:val="18"/>
              </w:rPr>
              <w:t>Northland Preparatory Academy</w:t>
            </w:r>
          </w:p>
        </w:tc>
      </w:tr>
      <w:tr>
        <w:trPr>
          <w:trHeight w:val="300" w:hRule="atLeast"/>
        </w:trPr>
        <w:tc>
          <w:tcPr>
            <w:tcW w:w="4680" w:type="dxa"/>
          </w:tcPr>
          <w:p>
            <w:pPr>
              <w:pStyle w:val="TableParagraph"/>
              <w:spacing w:before="43"/>
              <w:ind w:left="179" w:right="173"/>
              <w:rPr>
                <w:b/>
                <w:sz w:val="18"/>
              </w:rPr>
            </w:pPr>
            <w:r>
              <w:rPr>
                <w:b/>
                <w:sz w:val="18"/>
              </w:rPr>
              <w:t>Nosotros</w:t>
            </w:r>
          </w:p>
        </w:tc>
      </w:tr>
      <w:tr>
        <w:trPr>
          <w:trHeight w:val="300" w:hRule="atLeast"/>
        </w:trPr>
        <w:tc>
          <w:tcPr>
            <w:tcW w:w="4680" w:type="dxa"/>
          </w:tcPr>
          <w:p>
            <w:pPr>
              <w:pStyle w:val="TableParagraph"/>
              <w:spacing w:before="43"/>
              <w:ind w:left="179" w:right="165"/>
              <w:rPr>
                <w:b/>
                <w:sz w:val="18"/>
              </w:rPr>
            </w:pPr>
            <w:r>
              <w:rPr>
                <w:b/>
                <w:sz w:val="18"/>
              </w:rPr>
              <w:t>Omega Alpha Academy</w:t>
            </w:r>
          </w:p>
        </w:tc>
      </w:tr>
      <w:tr>
        <w:trPr>
          <w:trHeight w:val="300" w:hRule="atLeast"/>
        </w:trPr>
        <w:tc>
          <w:tcPr>
            <w:tcW w:w="4680" w:type="dxa"/>
          </w:tcPr>
          <w:p>
            <w:pPr>
              <w:pStyle w:val="TableParagraph"/>
              <w:spacing w:before="43"/>
              <w:ind w:left="179" w:right="177"/>
              <w:rPr>
                <w:b/>
                <w:sz w:val="18"/>
              </w:rPr>
            </w:pPr>
            <w:r>
              <w:rPr>
                <w:b/>
                <w:sz w:val="18"/>
              </w:rPr>
              <w:t>Painted Pony Ranch Charter School</w:t>
            </w:r>
          </w:p>
        </w:tc>
      </w:tr>
      <w:tr>
        <w:trPr>
          <w:trHeight w:val="300" w:hRule="atLeast"/>
        </w:trPr>
        <w:tc>
          <w:tcPr>
            <w:tcW w:w="4680" w:type="dxa"/>
          </w:tcPr>
          <w:p>
            <w:pPr>
              <w:pStyle w:val="TableParagraph"/>
              <w:spacing w:before="43"/>
              <w:ind w:left="179" w:right="171"/>
              <w:rPr>
                <w:b/>
                <w:sz w:val="18"/>
              </w:rPr>
            </w:pPr>
            <w:r>
              <w:rPr>
                <w:b/>
                <w:sz w:val="18"/>
              </w:rPr>
              <w:t>Paragon Management, Inc.</w:t>
            </w:r>
          </w:p>
        </w:tc>
      </w:tr>
      <w:tr>
        <w:trPr>
          <w:trHeight w:val="300" w:hRule="atLeast"/>
        </w:trPr>
        <w:tc>
          <w:tcPr>
            <w:tcW w:w="4680" w:type="dxa"/>
          </w:tcPr>
          <w:p>
            <w:pPr>
              <w:pStyle w:val="TableParagraph"/>
              <w:spacing w:before="43"/>
              <w:ind w:left="179" w:right="177"/>
              <w:rPr>
                <w:b/>
                <w:sz w:val="18"/>
              </w:rPr>
            </w:pPr>
            <w:r>
              <w:rPr>
                <w:b/>
                <w:sz w:val="18"/>
              </w:rPr>
              <w:t>Patagonia Montessori Elementary School</w:t>
            </w:r>
          </w:p>
        </w:tc>
      </w:tr>
      <w:tr>
        <w:trPr>
          <w:trHeight w:val="300" w:hRule="atLeast"/>
        </w:trPr>
        <w:tc>
          <w:tcPr>
            <w:tcW w:w="4680" w:type="dxa"/>
          </w:tcPr>
          <w:p>
            <w:pPr>
              <w:pStyle w:val="TableParagraph"/>
              <w:spacing w:before="43"/>
              <w:ind w:left="179" w:right="179"/>
              <w:rPr>
                <w:b/>
                <w:sz w:val="18"/>
              </w:rPr>
            </w:pPr>
            <w:r>
              <w:rPr>
                <w:b/>
                <w:sz w:val="18"/>
              </w:rPr>
              <w:t>Phoenix Collegiate Academy, Inc.</w:t>
            </w:r>
          </w:p>
        </w:tc>
      </w:tr>
      <w:tr>
        <w:trPr>
          <w:trHeight w:val="300" w:hRule="atLeast"/>
        </w:trPr>
        <w:tc>
          <w:tcPr>
            <w:tcW w:w="4680" w:type="dxa"/>
          </w:tcPr>
          <w:p>
            <w:pPr>
              <w:pStyle w:val="TableParagraph"/>
              <w:spacing w:before="43"/>
              <w:ind w:left="179" w:right="175"/>
              <w:rPr>
                <w:b/>
                <w:sz w:val="18"/>
              </w:rPr>
            </w:pPr>
            <w:r>
              <w:rPr>
                <w:b/>
                <w:sz w:val="18"/>
              </w:rPr>
              <w:t>Pine Forest Education Association, Inc.</w:t>
            </w:r>
          </w:p>
        </w:tc>
      </w:tr>
      <w:tr>
        <w:trPr>
          <w:trHeight w:val="300" w:hRule="atLeast"/>
        </w:trPr>
        <w:tc>
          <w:tcPr>
            <w:tcW w:w="4680" w:type="dxa"/>
          </w:tcPr>
          <w:p>
            <w:pPr>
              <w:pStyle w:val="TableParagraph"/>
              <w:spacing w:before="43"/>
              <w:ind w:left="179" w:right="173"/>
              <w:rPr>
                <w:b/>
                <w:sz w:val="18"/>
              </w:rPr>
            </w:pPr>
            <w:r>
              <w:rPr>
                <w:b/>
                <w:sz w:val="18"/>
              </w:rPr>
              <w:t>PS Charter Schools, Inc.</w:t>
            </w:r>
          </w:p>
        </w:tc>
      </w:tr>
      <w:tr>
        <w:trPr>
          <w:trHeight w:val="300" w:hRule="atLeast"/>
        </w:trPr>
        <w:tc>
          <w:tcPr>
            <w:tcW w:w="4680" w:type="dxa"/>
          </w:tcPr>
          <w:p>
            <w:pPr>
              <w:pStyle w:val="TableParagraph"/>
              <w:spacing w:before="43"/>
              <w:ind w:left="179" w:right="175"/>
              <w:rPr>
                <w:b/>
                <w:sz w:val="18"/>
              </w:rPr>
            </w:pPr>
            <w:r>
              <w:rPr>
                <w:b/>
                <w:sz w:val="18"/>
              </w:rPr>
              <w:t>Salt River Pima-Maricopa Community Schools</w:t>
            </w:r>
          </w:p>
        </w:tc>
      </w:tr>
      <w:tr>
        <w:trPr>
          <w:trHeight w:val="300" w:hRule="atLeast"/>
        </w:trPr>
        <w:tc>
          <w:tcPr>
            <w:tcW w:w="4680" w:type="dxa"/>
          </w:tcPr>
          <w:p>
            <w:pPr>
              <w:pStyle w:val="TableParagraph"/>
              <w:spacing w:before="43"/>
              <w:ind w:left="179" w:right="179"/>
              <w:rPr>
                <w:b/>
                <w:sz w:val="18"/>
              </w:rPr>
            </w:pPr>
            <w:r>
              <w:rPr>
                <w:b/>
                <w:sz w:val="18"/>
              </w:rPr>
              <w:t>Santa Cruz Valley Opportunities in Education, Inc.</w:t>
            </w:r>
          </w:p>
        </w:tc>
      </w:tr>
      <w:tr>
        <w:trPr>
          <w:trHeight w:val="300" w:hRule="atLeast"/>
        </w:trPr>
        <w:tc>
          <w:tcPr>
            <w:tcW w:w="4680" w:type="dxa"/>
          </w:tcPr>
          <w:p>
            <w:pPr>
              <w:pStyle w:val="TableParagraph"/>
              <w:spacing w:before="43"/>
              <w:ind w:left="179" w:right="177"/>
              <w:rPr>
                <w:b/>
                <w:sz w:val="18"/>
              </w:rPr>
            </w:pPr>
            <w:r>
              <w:rPr>
                <w:b/>
                <w:sz w:val="18"/>
              </w:rPr>
              <w:t>Scottsdale Country Day School</w:t>
            </w:r>
          </w:p>
        </w:tc>
      </w:tr>
      <w:tr>
        <w:trPr>
          <w:trHeight w:val="300" w:hRule="atLeast"/>
        </w:trPr>
        <w:tc>
          <w:tcPr>
            <w:tcW w:w="4680" w:type="dxa"/>
          </w:tcPr>
          <w:p>
            <w:pPr>
              <w:pStyle w:val="TableParagraph"/>
              <w:spacing w:before="43"/>
              <w:ind w:left="179" w:right="173"/>
              <w:rPr>
                <w:b/>
                <w:sz w:val="18"/>
              </w:rPr>
            </w:pPr>
            <w:r>
              <w:rPr>
                <w:b/>
                <w:sz w:val="18"/>
              </w:rPr>
              <w:t>Sedona Charter School</w:t>
            </w:r>
          </w:p>
        </w:tc>
      </w:tr>
      <w:tr>
        <w:trPr>
          <w:trHeight w:val="300" w:hRule="atLeast"/>
        </w:trPr>
        <w:tc>
          <w:tcPr>
            <w:tcW w:w="4680" w:type="dxa"/>
          </w:tcPr>
          <w:p>
            <w:pPr>
              <w:pStyle w:val="TableParagraph"/>
              <w:spacing w:before="47"/>
              <w:ind w:left="179" w:right="171"/>
              <w:rPr>
                <w:b/>
                <w:sz w:val="18"/>
              </w:rPr>
            </w:pPr>
            <w:r>
              <w:rPr>
                <w:b/>
                <w:sz w:val="18"/>
              </w:rPr>
              <w:t>Shelby School, The</w:t>
            </w:r>
          </w:p>
        </w:tc>
      </w:tr>
      <w:tr>
        <w:trPr>
          <w:trHeight w:val="320" w:hRule="atLeast"/>
        </w:trPr>
        <w:tc>
          <w:tcPr>
            <w:tcW w:w="4680" w:type="dxa"/>
          </w:tcPr>
          <w:p>
            <w:pPr>
              <w:pStyle w:val="TableParagraph"/>
              <w:spacing w:before="56"/>
              <w:ind w:left="179" w:right="176"/>
              <w:rPr>
                <w:b/>
                <w:sz w:val="18"/>
              </w:rPr>
            </w:pPr>
            <w:r>
              <w:rPr>
                <w:b/>
                <w:sz w:val="18"/>
              </w:rPr>
              <w:t>Skyview School, Inc.</w:t>
            </w:r>
          </w:p>
        </w:tc>
      </w:tr>
      <w:tr>
        <w:trPr>
          <w:trHeight w:val="300" w:hRule="atLeast"/>
        </w:trPr>
        <w:tc>
          <w:tcPr>
            <w:tcW w:w="4680" w:type="dxa"/>
          </w:tcPr>
          <w:p>
            <w:pPr>
              <w:pStyle w:val="TableParagraph"/>
              <w:spacing w:before="53"/>
              <w:ind w:left="179" w:right="173"/>
              <w:rPr>
                <w:b/>
                <w:sz w:val="18"/>
              </w:rPr>
            </w:pPr>
            <w:r>
              <w:rPr>
                <w:b/>
                <w:sz w:val="18"/>
              </w:rPr>
              <w:t>Sonoran Desert School</w:t>
            </w:r>
          </w:p>
        </w:tc>
      </w:tr>
      <w:tr>
        <w:trPr>
          <w:trHeight w:val="300" w:hRule="atLeast"/>
        </w:trPr>
        <w:tc>
          <w:tcPr>
            <w:tcW w:w="4680" w:type="dxa"/>
          </w:tcPr>
          <w:p>
            <w:pPr>
              <w:pStyle w:val="TableParagraph"/>
              <w:spacing w:before="50"/>
              <w:ind w:left="179" w:right="162"/>
              <w:rPr>
                <w:b/>
                <w:sz w:val="18"/>
              </w:rPr>
            </w:pPr>
            <w:r>
              <w:rPr>
                <w:b/>
                <w:sz w:val="18"/>
              </w:rPr>
              <w:t>StarShine Academy</w:t>
            </w:r>
          </w:p>
        </w:tc>
      </w:tr>
      <w:tr>
        <w:trPr>
          <w:trHeight w:val="300" w:hRule="atLeast"/>
        </w:trPr>
        <w:tc>
          <w:tcPr>
            <w:tcW w:w="4680" w:type="dxa"/>
          </w:tcPr>
          <w:p>
            <w:pPr>
              <w:pStyle w:val="TableParagraph"/>
              <w:spacing w:before="43"/>
              <w:ind w:left="179" w:right="165"/>
              <w:rPr>
                <w:b/>
                <w:sz w:val="18"/>
              </w:rPr>
            </w:pPr>
            <w:r>
              <w:rPr>
                <w:b/>
                <w:sz w:val="18"/>
              </w:rPr>
              <w:t>Stepping Stones Academy</w:t>
            </w:r>
          </w:p>
        </w:tc>
      </w:tr>
      <w:tr>
        <w:trPr>
          <w:trHeight w:val="300" w:hRule="atLeast"/>
        </w:trPr>
        <w:tc>
          <w:tcPr>
            <w:tcW w:w="4680" w:type="dxa"/>
          </w:tcPr>
          <w:p>
            <w:pPr>
              <w:pStyle w:val="TableParagraph"/>
              <w:spacing w:before="43"/>
              <w:ind w:left="179" w:right="173"/>
              <w:rPr>
                <w:b/>
                <w:sz w:val="18"/>
              </w:rPr>
            </w:pPr>
            <w:r>
              <w:rPr>
                <w:b/>
                <w:sz w:val="18"/>
              </w:rPr>
              <w:t>SySTEM Schools</w:t>
            </w:r>
          </w:p>
        </w:tc>
      </w:tr>
      <w:tr>
        <w:trPr>
          <w:trHeight w:val="280" w:hRule="atLeast"/>
        </w:trPr>
        <w:tc>
          <w:tcPr>
            <w:tcW w:w="4680" w:type="dxa"/>
          </w:tcPr>
          <w:p>
            <w:pPr>
              <w:pStyle w:val="TableParagraph"/>
              <w:spacing w:before="43"/>
              <w:ind w:left="179" w:right="172"/>
              <w:rPr>
                <w:b/>
                <w:sz w:val="18"/>
              </w:rPr>
            </w:pPr>
            <w:r>
              <w:rPr>
                <w:b/>
                <w:sz w:val="18"/>
              </w:rPr>
              <w:t>Telesis Center for Learning, Inc.</w:t>
            </w:r>
          </w:p>
        </w:tc>
      </w:tr>
      <w:tr>
        <w:trPr>
          <w:trHeight w:val="300" w:hRule="atLeast"/>
        </w:trPr>
        <w:tc>
          <w:tcPr>
            <w:tcW w:w="4680" w:type="dxa"/>
          </w:tcPr>
          <w:p>
            <w:pPr>
              <w:pStyle w:val="TableParagraph"/>
              <w:spacing w:before="40"/>
              <w:ind w:left="179" w:right="173"/>
              <w:rPr>
                <w:b/>
                <w:sz w:val="18"/>
              </w:rPr>
            </w:pPr>
            <w:r>
              <w:rPr>
                <w:b/>
                <w:sz w:val="18"/>
              </w:rPr>
              <w:t>The Edge School, Inc.</w:t>
            </w:r>
          </w:p>
        </w:tc>
      </w:tr>
      <w:tr>
        <w:trPr>
          <w:trHeight w:val="300" w:hRule="atLeast"/>
        </w:trPr>
        <w:tc>
          <w:tcPr>
            <w:tcW w:w="4680" w:type="dxa"/>
          </w:tcPr>
          <w:p>
            <w:pPr>
              <w:pStyle w:val="TableParagraph"/>
              <w:spacing w:before="47"/>
              <w:ind w:left="179" w:right="175"/>
              <w:rPr>
                <w:b/>
                <w:sz w:val="18"/>
              </w:rPr>
            </w:pPr>
            <w:r>
              <w:rPr>
                <w:b/>
                <w:sz w:val="18"/>
              </w:rPr>
              <w:t>The Odyssey Preparatory Academy, Inc.</w:t>
            </w:r>
          </w:p>
        </w:tc>
      </w:tr>
      <w:tr>
        <w:trPr>
          <w:trHeight w:val="300" w:hRule="atLeast"/>
        </w:trPr>
        <w:tc>
          <w:tcPr>
            <w:tcW w:w="4680" w:type="dxa"/>
          </w:tcPr>
          <w:p>
            <w:pPr>
              <w:pStyle w:val="TableParagraph"/>
              <w:spacing w:before="43"/>
              <w:ind w:left="179" w:right="169"/>
              <w:rPr>
                <w:b/>
                <w:sz w:val="18"/>
              </w:rPr>
            </w:pPr>
            <w:r>
              <w:rPr>
                <w:b/>
                <w:sz w:val="18"/>
              </w:rPr>
              <w:t>The Paideia Academies, Inc.</w:t>
            </w:r>
          </w:p>
        </w:tc>
      </w:tr>
      <w:tr>
        <w:trPr>
          <w:trHeight w:val="280" w:hRule="atLeast"/>
        </w:trPr>
        <w:tc>
          <w:tcPr>
            <w:tcW w:w="4680" w:type="dxa"/>
          </w:tcPr>
          <w:p>
            <w:pPr>
              <w:pStyle w:val="TableParagraph"/>
              <w:spacing w:before="43"/>
              <w:ind w:left="179" w:right="175"/>
              <w:rPr>
                <w:b/>
                <w:sz w:val="18"/>
              </w:rPr>
            </w:pPr>
            <w:r>
              <w:rPr>
                <w:b/>
                <w:sz w:val="18"/>
              </w:rPr>
              <w:t>Triumphant Learning Center, Inc.</w:t>
            </w:r>
          </w:p>
        </w:tc>
      </w:tr>
      <w:tr>
        <w:trPr>
          <w:trHeight w:val="280" w:hRule="atLeast"/>
        </w:trPr>
        <w:tc>
          <w:tcPr>
            <w:tcW w:w="4680" w:type="dxa"/>
          </w:tcPr>
          <w:p>
            <w:pPr>
              <w:pStyle w:val="TableParagraph"/>
              <w:spacing w:before="43"/>
              <w:ind w:left="179" w:right="172"/>
              <w:rPr>
                <w:b/>
                <w:sz w:val="18"/>
              </w:rPr>
            </w:pPr>
            <w:r>
              <w:rPr>
                <w:b/>
                <w:sz w:val="18"/>
              </w:rPr>
              <w:t>Tucson Collegiate Prep, Inc.</w:t>
            </w:r>
          </w:p>
        </w:tc>
      </w:tr>
      <w:tr>
        <w:trPr>
          <w:trHeight w:val="220" w:hRule="atLeast"/>
        </w:trPr>
        <w:tc>
          <w:tcPr>
            <w:tcW w:w="4680" w:type="dxa"/>
          </w:tcPr>
          <w:p>
            <w:pPr>
              <w:pStyle w:val="TableParagraph"/>
              <w:spacing w:line="187" w:lineRule="exact" w:before="32"/>
              <w:ind w:left="179" w:right="177"/>
              <w:rPr>
                <w:b/>
                <w:sz w:val="18"/>
              </w:rPr>
            </w:pPr>
            <w:r>
              <w:rPr>
                <w:b/>
                <w:sz w:val="18"/>
              </w:rPr>
              <w:t>Tucson Preparatory School</w:t>
            </w:r>
          </w:p>
        </w:tc>
      </w:tr>
    </w:tbl>
    <w:p>
      <w:pPr>
        <w:spacing w:after="0" w:line="187" w:lineRule="exact"/>
        <w:rPr>
          <w:sz w:val="18"/>
        </w:rPr>
        <w:sectPr>
          <w:pgSz w:w="12240" w:h="15840"/>
          <w:pgMar w:header="740" w:footer="1002" w:top="940" w:bottom="1200" w:left="1720" w:right="1720"/>
        </w:sectPr>
      </w:pPr>
    </w:p>
    <w:p>
      <w:pPr>
        <w:pStyle w:val="BodyText"/>
        <w:rPr>
          <w:rFonts w:ascii="Times New Roman"/>
          <w:sz w:val="20"/>
        </w:rPr>
      </w:pPr>
    </w:p>
    <w:p>
      <w:pPr>
        <w:pStyle w:val="BodyText"/>
        <w:rPr>
          <w:rFonts w:ascii="Times New Roman"/>
          <w:sz w:val="20"/>
        </w:rPr>
      </w:pPr>
    </w:p>
    <w:p>
      <w:pPr>
        <w:pStyle w:val="BodyText"/>
        <w:spacing w:before="5"/>
        <w:rPr>
          <w:rFonts w:ascii="Times New Roman"/>
          <w:sz w:val="11"/>
        </w:rPr>
      </w:pPr>
    </w:p>
    <w:tbl>
      <w:tblPr>
        <w:tblW w:w="0" w:type="auto"/>
        <w:jc w:val="left"/>
        <w:tblInd w:w="17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83"/>
      </w:tblGrid>
      <w:tr>
        <w:trPr>
          <w:trHeight w:val="240" w:hRule="atLeast"/>
        </w:trPr>
        <w:tc>
          <w:tcPr>
            <w:tcW w:w="5083" w:type="dxa"/>
          </w:tcPr>
          <w:p>
            <w:pPr>
              <w:pStyle w:val="TableParagraph"/>
              <w:spacing w:line="201" w:lineRule="exact"/>
              <w:ind w:left="179" w:right="178"/>
              <w:rPr>
                <w:b/>
                <w:sz w:val="18"/>
              </w:rPr>
            </w:pPr>
            <w:r>
              <w:rPr>
                <w:b/>
                <w:sz w:val="18"/>
              </w:rPr>
              <w:t>Tucson Small School Project</w:t>
            </w:r>
          </w:p>
        </w:tc>
      </w:tr>
      <w:tr>
        <w:trPr>
          <w:trHeight w:val="280" w:hRule="atLeast"/>
        </w:trPr>
        <w:tc>
          <w:tcPr>
            <w:tcW w:w="5083" w:type="dxa"/>
          </w:tcPr>
          <w:p>
            <w:pPr>
              <w:pStyle w:val="TableParagraph"/>
              <w:spacing w:before="40"/>
              <w:ind w:left="179" w:right="179"/>
              <w:rPr>
                <w:b/>
                <w:sz w:val="18"/>
              </w:rPr>
            </w:pPr>
            <w:r>
              <w:rPr>
                <w:b/>
                <w:sz w:val="18"/>
              </w:rPr>
              <w:t>Tucson Youth Development, Inc.</w:t>
            </w:r>
          </w:p>
        </w:tc>
      </w:tr>
      <w:tr>
        <w:trPr>
          <w:trHeight w:val="280" w:hRule="atLeast"/>
        </w:trPr>
        <w:tc>
          <w:tcPr>
            <w:tcW w:w="5083" w:type="dxa"/>
          </w:tcPr>
          <w:p>
            <w:pPr>
              <w:pStyle w:val="TableParagraph"/>
              <w:spacing w:before="43"/>
              <w:ind w:left="178" w:right="179"/>
              <w:rPr>
                <w:b/>
                <w:sz w:val="18"/>
              </w:rPr>
            </w:pPr>
            <w:r>
              <w:rPr>
                <w:b/>
                <w:sz w:val="18"/>
              </w:rPr>
              <w:t>Valley of the Sun Waldorf Education Association, Inc.</w:t>
            </w:r>
          </w:p>
        </w:tc>
      </w:tr>
      <w:tr>
        <w:trPr>
          <w:trHeight w:val="280" w:hRule="atLeast"/>
        </w:trPr>
        <w:tc>
          <w:tcPr>
            <w:tcW w:w="5083" w:type="dxa"/>
          </w:tcPr>
          <w:p>
            <w:pPr>
              <w:pStyle w:val="TableParagraph"/>
              <w:spacing w:before="40"/>
              <w:ind w:left="179" w:right="176"/>
              <w:rPr>
                <w:b/>
                <w:sz w:val="18"/>
              </w:rPr>
            </w:pPr>
            <w:r>
              <w:rPr>
                <w:b/>
                <w:sz w:val="18"/>
              </w:rPr>
              <w:t>Victory High School, Inc.</w:t>
            </w:r>
          </w:p>
        </w:tc>
      </w:tr>
      <w:tr>
        <w:trPr>
          <w:trHeight w:val="300" w:hRule="atLeast"/>
        </w:trPr>
        <w:tc>
          <w:tcPr>
            <w:tcW w:w="5083" w:type="dxa"/>
          </w:tcPr>
          <w:p>
            <w:pPr>
              <w:pStyle w:val="TableParagraph"/>
              <w:spacing w:before="43"/>
              <w:ind w:left="179" w:right="175"/>
              <w:rPr>
                <w:b/>
                <w:sz w:val="18"/>
              </w:rPr>
            </w:pPr>
            <w:r>
              <w:rPr>
                <w:b/>
                <w:sz w:val="18"/>
              </w:rPr>
              <w:t>Villa Montessori, Inc.</w:t>
            </w:r>
          </w:p>
        </w:tc>
      </w:tr>
      <w:tr>
        <w:trPr>
          <w:trHeight w:val="300" w:hRule="atLeast"/>
        </w:trPr>
        <w:tc>
          <w:tcPr>
            <w:tcW w:w="5083" w:type="dxa"/>
          </w:tcPr>
          <w:p>
            <w:pPr>
              <w:pStyle w:val="TableParagraph"/>
              <w:spacing w:before="43"/>
              <w:ind w:left="179" w:right="176"/>
              <w:rPr>
                <w:b/>
                <w:sz w:val="18"/>
              </w:rPr>
            </w:pPr>
            <w:r>
              <w:rPr>
                <w:b/>
                <w:sz w:val="18"/>
              </w:rPr>
              <w:t>Vision Charter School, Inc.</w:t>
            </w:r>
          </w:p>
        </w:tc>
      </w:tr>
      <w:tr>
        <w:trPr>
          <w:trHeight w:val="300" w:hRule="atLeast"/>
        </w:trPr>
        <w:tc>
          <w:tcPr>
            <w:tcW w:w="5083" w:type="dxa"/>
          </w:tcPr>
          <w:p>
            <w:pPr>
              <w:pStyle w:val="TableParagraph"/>
              <w:spacing w:before="43"/>
              <w:ind w:left="179" w:right="172"/>
              <w:rPr>
                <w:b/>
                <w:sz w:val="18"/>
              </w:rPr>
            </w:pPr>
            <w:r>
              <w:rPr>
                <w:b/>
                <w:sz w:val="18"/>
              </w:rPr>
              <w:t>Vista College Preparatory</w:t>
            </w:r>
          </w:p>
        </w:tc>
      </w:tr>
      <w:tr>
        <w:trPr>
          <w:trHeight w:val="280" w:hRule="atLeast"/>
        </w:trPr>
        <w:tc>
          <w:tcPr>
            <w:tcW w:w="5083" w:type="dxa"/>
          </w:tcPr>
          <w:p>
            <w:pPr>
              <w:pStyle w:val="TableParagraph"/>
              <w:spacing w:before="43"/>
              <w:ind w:left="179" w:right="179"/>
              <w:rPr>
                <w:b/>
                <w:sz w:val="18"/>
              </w:rPr>
            </w:pPr>
            <w:r>
              <w:rPr>
                <w:b/>
                <w:sz w:val="18"/>
              </w:rPr>
              <w:t>Young Scholar's Academy Charter School Corporation</w:t>
            </w:r>
          </w:p>
        </w:tc>
      </w:tr>
      <w:tr>
        <w:trPr>
          <w:trHeight w:val="240" w:hRule="atLeast"/>
        </w:trPr>
        <w:tc>
          <w:tcPr>
            <w:tcW w:w="5083" w:type="dxa"/>
          </w:tcPr>
          <w:p>
            <w:pPr>
              <w:pStyle w:val="TableParagraph"/>
              <w:spacing w:line="187" w:lineRule="exact" w:before="40"/>
              <w:ind w:left="179" w:right="179"/>
              <w:rPr>
                <w:b/>
                <w:sz w:val="18"/>
              </w:rPr>
            </w:pPr>
            <w:r>
              <w:rPr>
                <w:b/>
                <w:sz w:val="18"/>
              </w:rPr>
              <w:t>Yuma Private Industry Council</w:t>
            </w:r>
          </w:p>
        </w:tc>
      </w:tr>
    </w:tbl>
    <w:sectPr>
      <w:footerReference w:type="default" r:id="rId82"/>
      <w:pgSz w:w="12240" w:h="15840"/>
      <w:pgMar w:footer="1002" w:header="740" w:top="940" w:bottom="1200" w:left="1720" w:right="1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 w:name="Wingdings">
    <w:altName w:val="Wingdings"/>
    <w:charset w:val="2"/>
    <w:family w:val="auto"/>
    <w:pitch w:val="variable"/>
  </w:font>
  <w:font w:name="Calibri">
    <w:altName w:val="Calibri"/>
    <w:charset w:val="0"/>
    <w:family w:val="swiss"/>
    <w:pitch w:val="variable"/>
  </w:font>
  <w:font w:name="Corbel">
    <w:altName w:val="Corbel"/>
    <w:charset w:val="0"/>
    <w:family w:val="swiss"/>
    <w:pitch w:val="variable"/>
  </w:font>
  <w:font w:name="Courier New">
    <w:altName w:val="Courier New"/>
    <w:charset w:val="0"/>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01.290009pt;margin-top:730.880005pt;width:9.6pt;height:13.05pt;mso-position-horizontal-relative:page;mso-position-vertical-relative:page;z-index:-180928"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w w:val="100"/>
                    <w:sz w:val="2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02.290009pt;margin-top:730.880005pt;width:7.6pt;height:13.05pt;mso-position-horizontal-relative:page;mso-position-vertical-relative:page;z-index:-180904" type="#_x0000_t202" filled="false" stroked="false">
          <v:textbox inset="0,0,0,0">
            <w:txbxContent>
              <w:p>
                <w:pPr>
                  <w:spacing w:line="245" w:lineRule="exact" w:before="0"/>
                  <w:ind w:left="20" w:right="0" w:firstLine="0"/>
                  <w:jc w:val="left"/>
                  <w:rPr>
                    <w:rFonts w:ascii="Calibri"/>
                    <w:sz w:val="22"/>
                  </w:rPr>
                </w:pPr>
                <w:r>
                  <w:rPr>
                    <w:rFonts w:ascii="Calibri"/>
                    <w:w w:val="100"/>
                    <w:sz w:val="22"/>
                  </w:rPr>
                  <w:t>1</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88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784" type="#_x0000_t202" filled="false" stroked="false">
          <v:textbox inset="0,0,0,0">
            <w:txbxContent>
              <w:p>
                <w:pPr>
                  <w:spacing w:line="245" w:lineRule="exact" w:before="0"/>
                  <w:ind w:left="20" w:right="0" w:firstLine="0"/>
                  <w:jc w:val="left"/>
                  <w:rPr>
                    <w:rFonts w:ascii="Calibri"/>
                    <w:sz w:val="22"/>
                  </w:rPr>
                </w:pPr>
                <w:r>
                  <w:rPr>
                    <w:rFonts w:ascii="Calibri"/>
                    <w:sz w:val="22"/>
                  </w:rPr>
                  <w:t>20</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76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21</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736" type="#_x0000_t202" filled="false" stroked="false">
          <v:textbox inset="0,0,0,0">
            <w:txbxContent>
              <w:p>
                <w:pPr>
                  <w:spacing w:line="245" w:lineRule="exact" w:before="0"/>
                  <w:ind w:left="20" w:right="0" w:firstLine="0"/>
                  <w:jc w:val="left"/>
                  <w:rPr>
                    <w:rFonts w:ascii="Calibri"/>
                    <w:sz w:val="22"/>
                  </w:rPr>
                </w:pPr>
                <w:r>
                  <w:rPr>
                    <w:rFonts w:ascii="Calibri"/>
                    <w:sz w:val="22"/>
                  </w:rPr>
                  <w:t>30</w:t>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712"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31</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688" type="#_x0000_t202" filled="false" stroked="false">
          <v:textbox inset="0,0,0,0">
            <w:txbxContent>
              <w:p>
                <w:pPr>
                  <w:spacing w:line="245" w:lineRule="exact" w:before="0"/>
                  <w:ind w:left="20" w:right="0" w:firstLine="0"/>
                  <w:jc w:val="left"/>
                  <w:rPr>
                    <w:rFonts w:ascii="Calibri"/>
                    <w:sz w:val="22"/>
                  </w:rPr>
                </w:pPr>
                <w:r>
                  <w:rPr>
                    <w:rFonts w:ascii="Calibri"/>
                    <w:sz w:val="22"/>
                  </w:rPr>
                  <w:t>40</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664"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41</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640" type="#_x0000_t202" filled="false" stroked="false">
          <v:textbox inset="0,0,0,0">
            <w:txbxContent>
              <w:p>
                <w:pPr>
                  <w:spacing w:line="245" w:lineRule="exact" w:before="0"/>
                  <w:ind w:left="20" w:right="0" w:firstLine="0"/>
                  <w:jc w:val="left"/>
                  <w:rPr>
                    <w:rFonts w:ascii="Calibri"/>
                    <w:sz w:val="22"/>
                  </w:rPr>
                </w:pPr>
                <w:r>
                  <w:rPr>
                    <w:rFonts w:ascii="Calibri"/>
                    <w:sz w:val="22"/>
                  </w:rPr>
                  <w:t>50</w:t>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616"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51</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592" type="#_x0000_t202" filled="false" stroked="false">
          <v:textbox inset="0,0,0,0">
            <w:txbxContent>
              <w:p>
                <w:pPr>
                  <w:spacing w:line="245" w:lineRule="exact" w:before="0"/>
                  <w:ind w:left="20" w:right="0" w:firstLine="0"/>
                  <w:jc w:val="left"/>
                  <w:rPr>
                    <w:rFonts w:ascii="Calibri"/>
                    <w:sz w:val="22"/>
                  </w:rPr>
                </w:pPr>
                <w:r>
                  <w:rPr>
                    <w:rFonts w:ascii="Calibri"/>
                    <w:sz w:val="22"/>
                  </w:rPr>
                  <w:t>60</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568"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61</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544" type="#_x0000_t202" filled="false" stroked="false">
          <v:textbox inset="0,0,0,0">
            <w:txbxContent>
              <w:p>
                <w:pPr>
                  <w:spacing w:line="245" w:lineRule="exact" w:before="0"/>
                  <w:ind w:left="20" w:right="0" w:firstLine="0"/>
                  <w:jc w:val="left"/>
                  <w:rPr>
                    <w:rFonts w:ascii="Calibri"/>
                    <w:sz w:val="22"/>
                  </w:rPr>
                </w:pPr>
                <w:r>
                  <w:rPr>
                    <w:rFonts w:ascii="Calibri"/>
                    <w:sz w:val="22"/>
                  </w:rPr>
                  <w:t>70</w:t>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52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76</w:t>
                </w:r>
                <w:r>
                  <w:rPr/>
                  <w:fldChar w:fldCharType="end"/>
                </w:r>
              </w:p>
            </w:txbxContent>
          </v:textbox>
          <w10:wrap type="non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496" type="#_x0000_t202" filled="false" stroked="false">
          <v:textbox inset="0,0,0,0">
            <w:txbxContent>
              <w:p>
                <w:pPr>
                  <w:spacing w:line="245" w:lineRule="exact" w:before="0"/>
                  <w:ind w:left="20" w:right="0" w:firstLine="0"/>
                  <w:jc w:val="left"/>
                  <w:rPr>
                    <w:rFonts w:ascii="Calibri"/>
                    <w:sz w:val="22"/>
                  </w:rPr>
                </w:pPr>
                <w:r>
                  <w:rPr>
                    <w:rFonts w:ascii="Calibri"/>
                    <w:sz w:val="22"/>
                  </w:rPr>
                  <w:t>80</w:t>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410004pt;margin-top:730.880005pt;width:15.3pt;height:13.05pt;mso-position-horizontal-relative:page;mso-position-vertical-relative:page;z-index:-180472"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81</w:t>
                </w:r>
                <w:r>
                  <w:rPr/>
                  <w:fldChar w:fldCharType="end"/>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410004pt;margin-top:730.880005pt;width:13.3pt;height:13.05pt;mso-position-horizontal-relative:page;mso-position-vertical-relative:page;z-index:-180448" type="#_x0000_t202" filled="false" stroked="false">
          <v:textbox inset="0,0,0,0">
            <w:txbxContent>
              <w:p>
                <w:pPr>
                  <w:spacing w:line="245" w:lineRule="exact" w:before="0"/>
                  <w:ind w:left="20" w:right="0" w:firstLine="0"/>
                  <w:jc w:val="left"/>
                  <w:rPr>
                    <w:rFonts w:ascii="Calibri"/>
                    <w:sz w:val="22"/>
                  </w:rPr>
                </w:pPr>
                <w:r>
                  <w:rPr>
                    <w:rFonts w:ascii="Calibri"/>
                    <w:sz w:val="22"/>
                  </w:rPr>
                  <w:t>90</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105.220001pt;margin-top:37.009998pt;width:401.3pt;height:11pt;mso-position-horizontal-relative:page;mso-position-vertical-relative:page;z-index:-180952" type="#_x0000_t202" filled="false" stroked="false">
          <v:textbox inset="0,0,0,0">
            <w:txbxContent>
              <w:p>
                <w:pPr>
                  <w:spacing w:line="203" w:lineRule="exact" w:before="0"/>
                  <w:ind w:left="20" w:right="0" w:firstLine="0"/>
                  <w:jc w:val="left"/>
                  <w:rPr>
                    <w:rFonts w:ascii="Calibri"/>
                    <w:i/>
                    <w:sz w:val="18"/>
                  </w:rPr>
                </w:pPr>
                <w:r>
                  <w:rPr>
                    <w:rFonts w:ascii="Calibri"/>
                    <w:i/>
                    <w:sz w:val="18"/>
                  </w:rPr>
                  <w:t>Grand Canyon Institute Policy Paper: Following the Money Twenty Years of Charter School Finances in Arizona</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68254599">
          <wp:simplePos x="0" y="0"/>
          <wp:positionH relativeFrom="page">
            <wp:posOffset>2519045</wp:posOffset>
          </wp:positionH>
          <wp:positionV relativeFrom="page">
            <wp:posOffset>753109</wp:posOffset>
          </wp:positionV>
          <wp:extent cx="2743200" cy="914146"/>
          <wp:effectExtent l="0" t="0" r="0" b="0"/>
          <wp:wrapNone/>
          <wp:docPr id="7" name="image4.jpeg" descr=""/>
          <wp:cNvGraphicFramePr>
            <a:graphicFrameLocks noChangeAspect="1"/>
          </wp:cNvGraphicFramePr>
          <a:graphic>
            <a:graphicData uri="http://schemas.openxmlformats.org/drawingml/2006/picture">
              <pic:pic>
                <pic:nvPicPr>
                  <pic:cNvPr id="8" name="image4.jpeg"/>
                  <pic:cNvPicPr/>
                </pic:nvPicPr>
                <pic:blipFill>
                  <a:blip r:embed="rId1" cstate="print"/>
                  <a:stretch>
                    <a:fillRect/>
                  </a:stretch>
                </pic:blipFill>
                <pic:spPr>
                  <a:xfrm>
                    <a:off x="0" y="0"/>
                    <a:ext cx="2743200" cy="914146"/>
                  </a:xfrm>
                  <a:prstGeom prst="rect">
                    <a:avLst/>
                  </a:prstGeom>
                </pic:spPr>
              </pic:pic>
            </a:graphicData>
          </a:graphic>
        </wp:anchor>
      </w:drawing>
    </w:r>
    <w:r>
      <w:rPr/>
      <w:pict>
        <v:shape style="position:absolute;margin-left:105.220001pt;margin-top:37.009998pt;width:401.3pt;height:11pt;mso-position-horizontal-relative:page;mso-position-vertical-relative:page;z-index:-180832" type="#_x0000_t202" filled="false" stroked="false">
          <v:textbox inset="0,0,0,0">
            <w:txbxContent>
              <w:p>
                <w:pPr>
                  <w:spacing w:line="203" w:lineRule="exact" w:before="0"/>
                  <w:ind w:left="20" w:right="0" w:firstLine="0"/>
                  <w:jc w:val="left"/>
                  <w:rPr>
                    <w:rFonts w:ascii="Calibri"/>
                    <w:i/>
                    <w:sz w:val="18"/>
                  </w:rPr>
                </w:pPr>
                <w:r>
                  <w:rPr>
                    <w:rFonts w:ascii="Calibri"/>
                    <w:i/>
                    <w:sz w:val="18"/>
                  </w:rPr>
                  <w:t>Grand Canyon Institute Policy Paper: Following the Money Twenty Years of Charter School Finances in Arizona</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05.220001pt;margin-top:37.009998pt;width:401.3pt;height:11pt;mso-position-horizontal-relative:page;mso-position-vertical-relative:page;z-index:-180808" type="#_x0000_t202" filled="false" stroked="false">
          <v:textbox inset="0,0,0,0">
            <w:txbxContent>
              <w:p>
                <w:pPr>
                  <w:spacing w:line="203" w:lineRule="exact" w:before="0"/>
                  <w:ind w:left="20" w:right="0" w:firstLine="0"/>
                  <w:jc w:val="left"/>
                  <w:rPr>
                    <w:rFonts w:ascii="Calibri"/>
                    <w:i/>
                    <w:sz w:val="18"/>
                  </w:rPr>
                </w:pPr>
                <w:r>
                  <w:rPr>
                    <w:rFonts w:ascii="Calibri"/>
                    <w:i/>
                    <w:sz w:val="18"/>
                  </w:rPr>
                  <w:t>Grand Canyon Institute Policy Paper: Following the Money Twenty Years of Charter School Finances in Arizona</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100" w:hanging="360"/>
        <w:jc w:val="left"/>
      </w:pPr>
      <w:rPr>
        <w:rFonts w:hint="default" w:ascii="Arial" w:hAnsi="Arial" w:eastAsia="Arial" w:cs="Arial"/>
        <w:spacing w:val="0"/>
        <w:w w:val="97"/>
        <w:sz w:val="24"/>
        <w:szCs w:val="24"/>
      </w:rPr>
    </w:lvl>
    <w:lvl w:ilvl="1">
      <w:start w:val="0"/>
      <w:numFmt w:val="bullet"/>
      <w:lvlText w:val="•"/>
      <w:lvlJc w:val="left"/>
      <w:pPr>
        <w:ind w:left="1048" w:hanging="360"/>
      </w:pPr>
      <w:rPr>
        <w:rFonts w:hint="default"/>
      </w:rPr>
    </w:lvl>
    <w:lvl w:ilvl="2">
      <w:start w:val="0"/>
      <w:numFmt w:val="bullet"/>
      <w:lvlText w:val="•"/>
      <w:lvlJc w:val="left"/>
      <w:pPr>
        <w:ind w:left="1996" w:hanging="360"/>
      </w:pPr>
      <w:rPr>
        <w:rFonts w:hint="default"/>
      </w:rPr>
    </w:lvl>
    <w:lvl w:ilvl="3">
      <w:start w:val="0"/>
      <w:numFmt w:val="bullet"/>
      <w:lvlText w:val="•"/>
      <w:lvlJc w:val="left"/>
      <w:pPr>
        <w:ind w:left="2944" w:hanging="360"/>
      </w:pPr>
      <w:rPr>
        <w:rFonts w:hint="default"/>
      </w:rPr>
    </w:lvl>
    <w:lvl w:ilvl="4">
      <w:start w:val="0"/>
      <w:numFmt w:val="bullet"/>
      <w:lvlText w:val="•"/>
      <w:lvlJc w:val="left"/>
      <w:pPr>
        <w:ind w:left="3892" w:hanging="360"/>
      </w:pPr>
      <w:rPr>
        <w:rFonts w:hint="default"/>
      </w:rPr>
    </w:lvl>
    <w:lvl w:ilvl="5">
      <w:start w:val="0"/>
      <w:numFmt w:val="bullet"/>
      <w:lvlText w:val="•"/>
      <w:lvlJc w:val="left"/>
      <w:pPr>
        <w:ind w:left="4840" w:hanging="360"/>
      </w:pPr>
      <w:rPr>
        <w:rFonts w:hint="default"/>
      </w:rPr>
    </w:lvl>
    <w:lvl w:ilvl="6">
      <w:start w:val="0"/>
      <w:numFmt w:val="bullet"/>
      <w:lvlText w:val="•"/>
      <w:lvlJc w:val="left"/>
      <w:pPr>
        <w:ind w:left="5788" w:hanging="360"/>
      </w:pPr>
      <w:rPr>
        <w:rFonts w:hint="default"/>
      </w:rPr>
    </w:lvl>
    <w:lvl w:ilvl="7">
      <w:start w:val="0"/>
      <w:numFmt w:val="bullet"/>
      <w:lvlText w:val="•"/>
      <w:lvlJc w:val="left"/>
      <w:pPr>
        <w:ind w:left="6736" w:hanging="360"/>
      </w:pPr>
      <w:rPr>
        <w:rFonts w:hint="default"/>
      </w:rPr>
    </w:lvl>
    <w:lvl w:ilvl="8">
      <w:start w:val="0"/>
      <w:numFmt w:val="bullet"/>
      <w:lvlText w:val="•"/>
      <w:lvlJc w:val="left"/>
      <w:pPr>
        <w:ind w:left="7684" w:hanging="360"/>
      </w:pPr>
      <w:rPr>
        <w:rFonts w:hint="default"/>
      </w:rPr>
    </w:lvl>
  </w:abstractNum>
  <w:abstractNum w:abstractNumId="14">
    <w:multiLevelType w:val="hybridMultilevel"/>
    <w:lvl w:ilvl="0">
      <w:start w:val="1"/>
      <w:numFmt w:val="decimal"/>
      <w:lvlText w:val="%1."/>
      <w:lvlJc w:val="left"/>
      <w:pPr>
        <w:ind w:left="551" w:hanging="449"/>
        <w:jc w:val="left"/>
      </w:pPr>
      <w:rPr>
        <w:rFonts w:hint="default" w:ascii="Arial" w:hAnsi="Arial" w:eastAsia="Arial" w:cs="Arial"/>
        <w:spacing w:val="-33"/>
        <w:w w:val="97"/>
        <w:sz w:val="24"/>
        <w:szCs w:val="24"/>
      </w:rPr>
    </w:lvl>
    <w:lvl w:ilvl="1">
      <w:start w:val="1"/>
      <w:numFmt w:val="lowerLetter"/>
      <w:lvlText w:val="%2."/>
      <w:lvlJc w:val="left"/>
      <w:pPr>
        <w:ind w:left="871" w:hanging="272"/>
        <w:jc w:val="left"/>
      </w:pPr>
      <w:rPr>
        <w:rFonts w:hint="default" w:ascii="Arial" w:hAnsi="Arial" w:eastAsia="Arial" w:cs="Arial"/>
        <w:w w:val="100"/>
        <w:sz w:val="24"/>
        <w:szCs w:val="24"/>
      </w:rPr>
    </w:lvl>
    <w:lvl w:ilvl="2">
      <w:start w:val="0"/>
      <w:numFmt w:val="bullet"/>
      <w:lvlText w:val="•"/>
      <w:lvlJc w:val="left"/>
      <w:pPr>
        <w:ind w:left="1313" w:hanging="272"/>
      </w:pPr>
      <w:rPr>
        <w:rFonts w:hint="default"/>
      </w:rPr>
    </w:lvl>
    <w:lvl w:ilvl="3">
      <w:start w:val="0"/>
      <w:numFmt w:val="bullet"/>
      <w:lvlText w:val="•"/>
      <w:lvlJc w:val="left"/>
      <w:pPr>
        <w:ind w:left="1746" w:hanging="272"/>
      </w:pPr>
      <w:rPr>
        <w:rFonts w:hint="default"/>
      </w:rPr>
    </w:lvl>
    <w:lvl w:ilvl="4">
      <w:start w:val="0"/>
      <w:numFmt w:val="bullet"/>
      <w:lvlText w:val="•"/>
      <w:lvlJc w:val="left"/>
      <w:pPr>
        <w:ind w:left="2179" w:hanging="272"/>
      </w:pPr>
      <w:rPr>
        <w:rFonts w:hint="default"/>
      </w:rPr>
    </w:lvl>
    <w:lvl w:ilvl="5">
      <w:start w:val="0"/>
      <w:numFmt w:val="bullet"/>
      <w:lvlText w:val="•"/>
      <w:lvlJc w:val="left"/>
      <w:pPr>
        <w:ind w:left="2612" w:hanging="272"/>
      </w:pPr>
      <w:rPr>
        <w:rFonts w:hint="default"/>
      </w:rPr>
    </w:lvl>
    <w:lvl w:ilvl="6">
      <w:start w:val="0"/>
      <w:numFmt w:val="bullet"/>
      <w:lvlText w:val="•"/>
      <w:lvlJc w:val="left"/>
      <w:pPr>
        <w:ind w:left="3046" w:hanging="272"/>
      </w:pPr>
      <w:rPr>
        <w:rFonts w:hint="default"/>
      </w:rPr>
    </w:lvl>
    <w:lvl w:ilvl="7">
      <w:start w:val="0"/>
      <w:numFmt w:val="bullet"/>
      <w:lvlText w:val="•"/>
      <w:lvlJc w:val="left"/>
      <w:pPr>
        <w:ind w:left="3479" w:hanging="272"/>
      </w:pPr>
      <w:rPr>
        <w:rFonts w:hint="default"/>
      </w:rPr>
    </w:lvl>
    <w:lvl w:ilvl="8">
      <w:start w:val="0"/>
      <w:numFmt w:val="bullet"/>
      <w:lvlText w:val="•"/>
      <w:lvlJc w:val="left"/>
      <w:pPr>
        <w:ind w:left="3912" w:hanging="272"/>
      </w:pPr>
      <w:rPr>
        <w:rFonts w:hint="default"/>
      </w:rPr>
    </w:lvl>
  </w:abstractNum>
  <w:abstractNum w:abstractNumId="13">
    <w:multiLevelType w:val="hybridMultilevel"/>
    <w:lvl w:ilvl="0">
      <w:start w:val="12"/>
      <w:numFmt w:val="upperLetter"/>
      <w:lvlText w:val="%1."/>
      <w:lvlJc w:val="left"/>
      <w:pPr>
        <w:ind w:left="100" w:hanging="343"/>
        <w:jc w:val="left"/>
      </w:pPr>
      <w:rPr>
        <w:rFonts w:hint="default" w:ascii="Arial" w:hAnsi="Arial" w:eastAsia="Arial" w:cs="Arial"/>
        <w:w w:val="99"/>
        <w:sz w:val="24"/>
        <w:szCs w:val="24"/>
      </w:rPr>
    </w:lvl>
    <w:lvl w:ilvl="1">
      <w:start w:val="0"/>
      <w:numFmt w:val="bullet"/>
      <w:lvlText w:val=""/>
      <w:lvlJc w:val="left"/>
      <w:pPr>
        <w:ind w:left="1540" w:hanging="360"/>
      </w:pPr>
      <w:rPr>
        <w:rFonts w:hint="default" w:ascii="Symbol" w:hAnsi="Symbol" w:eastAsia="Symbol" w:cs="Symbol"/>
        <w:w w:val="100"/>
        <w:sz w:val="24"/>
        <w:szCs w:val="24"/>
      </w:rPr>
    </w:lvl>
    <w:lvl w:ilvl="2">
      <w:start w:val="0"/>
      <w:numFmt w:val="bullet"/>
      <w:lvlText w:val="•"/>
      <w:lvlJc w:val="left"/>
      <w:pPr>
        <w:ind w:left="2433" w:hanging="360"/>
      </w:pPr>
      <w:rPr>
        <w:rFonts w:hint="default"/>
      </w:rPr>
    </w:lvl>
    <w:lvl w:ilvl="3">
      <w:start w:val="0"/>
      <w:numFmt w:val="bullet"/>
      <w:lvlText w:val="•"/>
      <w:lvlJc w:val="left"/>
      <w:pPr>
        <w:ind w:left="3326" w:hanging="360"/>
      </w:pPr>
      <w:rPr>
        <w:rFonts w:hint="default"/>
      </w:rPr>
    </w:lvl>
    <w:lvl w:ilvl="4">
      <w:start w:val="0"/>
      <w:numFmt w:val="bullet"/>
      <w:lvlText w:val="•"/>
      <w:lvlJc w:val="left"/>
      <w:pPr>
        <w:ind w:left="4220" w:hanging="360"/>
      </w:pPr>
      <w:rPr>
        <w:rFonts w:hint="default"/>
      </w:rPr>
    </w:lvl>
    <w:lvl w:ilvl="5">
      <w:start w:val="0"/>
      <w:numFmt w:val="bullet"/>
      <w:lvlText w:val="•"/>
      <w:lvlJc w:val="left"/>
      <w:pPr>
        <w:ind w:left="5113" w:hanging="360"/>
      </w:pPr>
      <w:rPr>
        <w:rFonts w:hint="default"/>
      </w:rPr>
    </w:lvl>
    <w:lvl w:ilvl="6">
      <w:start w:val="0"/>
      <w:numFmt w:val="bullet"/>
      <w:lvlText w:val="•"/>
      <w:lvlJc w:val="left"/>
      <w:pPr>
        <w:ind w:left="6006" w:hanging="360"/>
      </w:pPr>
      <w:rPr>
        <w:rFonts w:hint="default"/>
      </w:rPr>
    </w:lvl>
    <w:lvl w:ilvl="7">
      <w:start w:val="0"/>
      <w:numFmt w:val="bullet"/>
      <w:lvlText w:val="•"/>
      <w:lvlJc w:val="left"/>
      <w:pPr>
        <w:ind w:left="6900" w:hanging="360"/>
      </w:pPr>
      <w:rPr>
        <w:rFonts w:hint="default"/>
      </w:rPr>
    </w:lvl>
    <w:lvl w:ilvl="8">
      <w:start w:val="0"/>
      <w:numFmt w:val="bullet"/>
      <w:lvlText w:val="•"/>
      <w:lvlJc w:val="left"/>
      <w:pPr>
        <w:ind w:left="7793" w:hanging="360"/>
      </w:pPr>
      <w:rPr>
        <w:rFonts w:hint="default"/>
      </w:rPr>
    </w:lvl>
  </w:abstractNum>
  <w:abstractNum w:abstractNumId="12">
    <w:multiLevelType w:val="hybridMultilevel"/>
    <w:lvl w:ilvl="0">
      <w:start w:val="0"/>
      <w:numFmt w:val="bullet"/>
      <w:lvlText w:val=""/>
      <w:lvlJc w:val="left"/>
      <w:pPr>
        <w:ind w:left="460" w:hanging="360"/>
      </w:pPr>
      <w:rPr>
        <w:rFonts w:hint="default" w:ascii="Symbol" w:hAnsi="Symbol" w:eastAsia="Symbol" w:cs="Symbol"/>
        <w:w w:val="100"/>
        <w:sz w:val="24"/>
        <w:szCs w:val="24"/>
      </w:rPr>
    </w:lvl>
    <w:lvl w:ilvl="1">
      <w:start w:val="0"/>
      <w:numFmt w:val="bullet"/>
      <w:lvlText w:val="•"/>
      <w:lvlJc w:val="left"/>
      <w:pPr>
        <w:ind w:left="1336" w:hanging="360"/>
      </w:pPr>
      <w:rPr>
        <w:rFonts w:hint="default"/>
      </w:rPr>
    </w:lvl>
    <w:lvl w:ilvl="2">
      <w:start w:val="0"/>
      <w:numFmt w:val="bullet"/>
      <w:lvlText w:val="•"/>
      <w:lvlJc w:val="left"/>
      <w:pPr>
        <w:ind w:left="2212" w:hanging="360"/>
      </w:pPr>
      <w:rPr>
        <w:rFonts w:hint="default"/>
      </w:rPr>
    </w:lvl>
    <w:lvl w:ilvl="3">
      <w:start w:val="0"/>
      <w:numFmt w:val="bullet"/>
      <w:lvlText w:val="•"/>
      <w:lvlJc w:val="left"/>
      <w:pPr>
        <w:ind w:left="3088" w:hanging="360"/>
      </w:pPr>
      <w:rPr>
        <w:rFonts w:hint="default"/>
      </w:rPr>
    </w:lvl>
    <w:lvl w:ilvl="4">
      <w:start w:val="0"/>
      <w:numFmt w:val="bullet"/>
      <w:lvlText w:val="•"/>
      <w:lvlJc w:val="left"/>
      <w:pPr>
        <w:ind w:left="3964" w:hanging="360"/>
      </w:pPr>
      <w:rPr>
        <w:rFonts w:hint="default"/>
      </w:rPr>
    </w:lvl>
    <w:lvl w:ilvl="5">
      <w:start w:val="0"/>
      <w:numFmt w:val="bullet"/>
      <w:lvlText w:val="•"/>
      <w:lvlJc w:val="left"/>
      <w:pPr>
        <w:ind w:left="4840" w:hanging="360"/>
      </w:pPr>
      <w:rPr>
        <w:rFonts w:hint="default"/>
      </w:rPr>
    </w:lvl>
    <w:lvl w:ilvl="6">
      <w:start w:val="0"/>
      <w:numFmt w:val="bullet"/>
      <w:lvlText w:val="•"/>
      <w:lvlJc w:val="left"/>
      <w:pPr>
        <w:ind w:left="5716" w:hanging="360"/>
      </w:pPr>
      <w:rPr>
        <w:rFonts w:hint="default"/>
      </w:rPr>
    </w:lvl>
    <w:lvl w:ilvl="7">
      <w:start w:val="0"/>
      <w:numFmt w:val="bullet"/>
      <w:lvlText w:val="•"/>
      <w:lvlJc w:val="left"/>
      <w:pPr>
        <w:ind w:left="6592" w:hanging="360"/>
      </w:pPr>
      <w:rPr>
        <w:rFonts w:hint="default"/>
      </w:rPr>
    </w:lvl>
    <w:lvl w:ilvl="8">
      <w:start w:val="0"/>
      <w:numFmt w:val="bullet"/>
      <w:lvlText w:val="•"/>
      <w:lvlJc w:val="left"/>
      <w:pPr>
        <w:ind w:left="7468" w:hanging="360"/>
      </w:pPr>
      <w:rPr>
        <w:rFonts w:hint="default"/>
      </w:rPr>
    </w:lvl>
  </w:abstractNum>
  <w:abstractNum w:abstractNumId="11">
    <w:multiLevelType w:val="hybridMultilevel"/>
    <w:lvl w:ilvl="0">
      <w:start w:val="0"/>
      <w:numFmt w:val="bullet"/>
      <w:lvlText w:val=""/>
      <w:lvlJc w:val="left"/>
      <w:pPr>
        <w:ind w:left="860" w:hanging="360"/>
      </w:pPr>
      <w:rPr>
        <w:rFonts w:hint="default" w:ascii="Symbol" w:hAnsi="Symbol" w:eastAsia="Symbol" w:cs="Symbol"/>
        <w:w w:val="100"/>
        <w:sz w:val="24"/>
        <w:szCs w:val="24"/>
      </w:rPr>
    </w:lvl>
    <w:lvl w:ilvl="1">
      <w:start w:val="0"/>
      <w:numFmt w:val="bullet"/>
      <w:lvlText w:val="•"/>
      <w:lvlJc w:val="left"/>
      <w:pPr>
        <w:ind w:left="1738" w:hanging="360"/>
      </w:pPr>
      <w:rPr>
        <w:rFonts w:hint="default"/>
      </w:rPr>
    </w:lvl>
    <w:lvl w:ilvl="2">
      <w:start w:val="0"/>
      <w:numFmt w:val="bullet"/>
      <w:lvlText w:val="•"/>
      <w:lvlJc w:val="left"/>
      <w:pPr>
        <w:ind w:left="2616" w:hanging="360"/>
      </w:pPr>
      <w:rPr>
        <w:rFonts w:hint="default"/>
      </w:rPr>
    </w:lvl>
    <w:lvl w:ilvl="3">
      <w:start w:val="0"/>
      <w:numFmt w:val="bullet"/>
      <w:lvlText w:val="•"/>
      <w:lvlJc w:val="left"/>
      <w:pPr>
        <w:ind w:left="3494" w:hanging="360"/>
      </w:pPr>
      <w:rPr>
        <w:rFonts w:hint="default"/>
      </w:rPr>
    </w:lvl>
    <w:lvl w:ilvl="4">
      <w:start w:val="0"/>
      <w:numFmt w:val="bullet"/>
      <w:lvlText w:val="•"/>
      <w:lvlJc w:val="left"/>
      <w:pPr>
        <w:ind w:left="4372" w:hanging="360"/>
      </w:pPr>
      <w:rPr>
        <w:rFonts w:hint="default"/>
      </w:rPr>
    </w:lvl>
    <w:lvl w:ilvl="5">
      <w:start w:val="0"/>
      <w:numFmt w:val="bullet"/>
      <w:lvlText w:val="•"/>
      <w:lvlJc w:val="left"/>
      <w:pPr>
        <w:ind w:left="5250" w:hanging="360"/>
      </w:pPr>
      <w:rPr>
        <w:rFonts w:hint="default"/>
      </w:rPr>
    </w:lvl>
    <w:lvl w:ilvl="6">
      <w:start w:val="0"/>
      <w:numFmt w:val="bullet"/>
      <w:lvlText w:val="•"/>
      <w:lvlJc w:val="left"/>
      <w:pPr>
        <w:ind w:left="6128" w:hanging="360"/>
      </w:pPr>
      <w:rPr>
        <w:rFonts w:hint="default"/>
      </w:rPr>
    </w:lvl>
    <w:lvl w:ilvl="7">
      <w:start w:val="0"/>
      <w:numFmt w:val="bullet"/>
      <w:lvlText w:val="•"/>
      <w:lvlJc w:val="left"/>
      <w:pPr>
        <w:ind w:left="7006" w:hanging="360"/>
      </w:pPr>
      <w:rPr>
        <w:rFonts w:hint="default"/>
      </w:rPr>
    </w:lvl>
    <w:lvl w:ilvl="8">
      <w:start w:val="0"/>
      <w:numFmt w:val="bullet"/>
      <w:lvlText w:val="•"/>
      <w:lvlJc w:val="left"/>
      <w:pPr>
        <w:ind w:left="7884" w:hanging="360"/>
      </w:pPr>
      <w:rPr>
        <w:rFonts w:hint="default"/>
      </w:rPr>
    </w:lvl>
  </w:abstractNum>
  <w:abstractNum w:abstractNumId="9">
    <w:multiLevelType w:val="hybridMultilevel"/>
    <w:lvl w:ilvl="0">
      <w:start w:val="1"/>
      <w:numFmt w:val="decimal"/>
      <w:lvlText w:val="%1."/>
      <w:lvlJc w:val="left"/>
      <w:pPr>
        <w:ind w:left="419" w:hanging="269"/>
        <w:jc w:val="left"/>
      </w:pPr>
      <w:rPr>
        <w:rFonts w:hint="default"/>
        <w:b/>
        <w:bCs/>
        <w:w w:val="100"/>
      </w:rPr>
    </w:lvl>
    <w:lvl w:ilvl="1">
      <w:start w:val="0"/>
      <w:numFmt w:val="bullet"/>
      <w:lvlText w:val="•"/>
      <w:lvlJc w:val="left"/>
      <w:pPr>
        <w:ind w:left="855" w:hanging="269"/>
      </w:pPr>
      <w:rPr>
        <w:rFonts w:hint="default"/>
      </w:rPr>
    </w:lvl>
    <w:lvl w:ilvl="2">
      <w:start w:val="0"/>
      <w:numFmt w:val="bullet"/>
      <w:lvlText w:val="•"/>
      <w:lvlJc w:val="left"/>
      <w:pPr>
        <w:ind w:left="1291" w:hanging="269"/>
      </w:pPr>
      <w:rPr>
        <w:rFonts w:hint="default"/>
      </w:rPr>
    </w:lvl>
    <w:lvl w:ilvl="3">
      <w:start w:val="0"/>
      <w:numFmt w:val="bullet"/>
      <w:lvlText w:val="•"/>
      <w:lvlJc w:val="left"/>
      <w:pPr>
        <w:ind w:left="1727" w:hanging="269"/>
      </w:pPr>
      <w:rPr>
        <w:rFonts w:hint="default"/>
      </w:rPr>
    </w:lvl>
    <w:lvl w:ilvl="4">
      <w:start w:val="0"/>
      <w:numFmt w:val="bullet"/>
      <w:lvlText w:val="•"/>
      <w:lvlJc w:val="left"/>
      <w:pPr>
        <w:ind w:left="2163" w:hanging="269"/>
      </w:pPr>
      <w:rPr>
        <w:rFonts w:hint="default"/>
      </w:rPr>
    </w:lvl>
    <w:lvl w:ilvl="5">
      <w:start w:val="0"/>
      <w:numFmt w:val="bullet"/>
      <w:lvlText w:val="•"/>
      <w:lvlJc w:val="left"/>
      <w:pPr>
        <w:ind w:left="2599" w:hanging="269"/>
      </w:pPr>
      <w:rPr>
        <w:rFonts w:hint="default"/>
      </w:rPr>
    </w:lvl>
    <w:lvl w:ilvl="6">
      <w:start w:val="0"/>
      <w:numFmt w:val="bullet"/>
      <w:lvlText w:val="•"/>
      <w:lvlJc w:val="left"/>
      <w:pPr>
        <w:ind w:left="3035" w:hanging="269"/>
      </w:pPr>
      <w:rPr>
        <w:rFonts w:hint="default"/>
      </w:rPr>
    </w:lvl>
    <w:lvl w:ilvl="7">
      <w:start w:val="0"/>
      <w:numFmt w:val="bullet"/>
      <w:lvlText w:val="•"/>
      <w:lvlJc w:val="left"/>
      <w:pPr>
        <w:ind w:left="3471" w:hanging="269"/>
      </w:pPr>
      <w:rPr>
        <w:rFonts w:hint="default"/>
      </w:rPr>
    </w:lvl>
    <w:lvl w:ilvl="8">
      <w:start w:val="0"/>
      <w:numFmt w:val="bullet"/>
      <w:lvlText w:val="•"/>
      <w:lvlJc w:val="left"/>
      <w:pPr>
        <w:ind w:left="3907" w:hanging="269"/>
      </w:pPr>
      <w:rPr>
        <w:rFonts w:hint="default"/>
      </w:rPr>
    </w:lvl>
  </w:abstractNum>
  <w:abstractNum w:abstractNumId="8">
    <w:multiLevelType w:val="hybridMultilevel"/>
    <w:lvl w:ilvl="0">
      <w:start w:val="1"/>
      <w:numFmt w:val="decimal"/>
      <w:lvlText w:val="%1."/>
      <w:lvlJc w:val="left"/>
      <w:pPr>
        <w:ind w:left="419" w:hanging="269"/>
        <w:jc w:val="left"/>
      </w:pPr>
      <w:rPr>
        <w:rFonts w:hint="default" w:ascii="Arial" w:hAnsi="Arial" w:eastAsia="Arial" w:cs="Arial"/>
        <w:w w:val="100"/>
        <w:sz w:val="24"/>
        <w:szCs w:val="24"/>
      </w:rPr>
    </w:lvl>
    <w:lvl w:ilvl="1">
      <w:start w:val="0"/>
      <w:numFmt w:val="bullet"/>
      <w:lvlText w:val="•"/>
      <w:lvlJc w:val="left"/>
      <w:pPr>
        <w:ind w:left="845" w:hanging="269"/>
      </w:pPr>
      <w:rPr>
        <w:rFonts w:hint="default"/>
      </w:rPr>
    </w:lvl>
    <w:lvl w:ilvl="2">
      <w:start w:val="0"/>
      <w:numFmt w:val="bullet"/>
      <w:lvlText w:val="•"/>
      <w:lvlJc w:val="left"/>
      <w:pPr>
        <w:ind w:left="1271" w:hanging="269"/>
      </w:pPr>
      <w:rPr>
        <w:rFonts w:hint="default"/>
      </w:rPr>
    </w:lvl>
    <w:lvl w:ilvl="3">
      <w:start w:val="0"/>
      <w:numFmt w:val="bullet"/>
      <w:lvlText w:val="•"/>
      <w:lvlJc w:val="left"/>
      <w:pPr>
        <w:ind w:left="1696" w:hanging="269"/>
      </w:pPr>
      <w:rPr>
        <w:rFonts w:hint="default"/>
      </w:rPr>
    </w:lvl>
    <w:lvl w:ilvl="4">
      <w:start w:val="0"/>
      <w:numFmt w:val="bullet"/>
      <w:lvlText w:val="•"/>
      <w:lvlJc w:val="left"/>
      <w:pPr>
        <w:ind w:left="2122" w:hanging="269"/>
      </w:pPr>
      <w:rPr>
        <w:rFonts w:hint="default"/>
      </w:rPr>
    </w:lvl>
    <w:lvl w:ilvl="5">
      <w:start w:val="0"/>
      <w:numFmt w:val="bullet"/>
      <w:lvlText w:val="•"/>
      <w:lvlJc w:val="left"/>
      <w:pPr>
        <w:ind w:left="2547" w:hanging="269"/>
      </w:pPr>
      <w:rPr>
        <w:rFonts w:hint="default"/>
      </w:rPr>
    </w:lvl>
    <w:lvl w:ilvl="6">
      <w:start w:val="0"/>
      <w:numFmt w:val="bullet"/>
      <w:lvlText w:val="•"/>
      <w:lvlJc w:val="left"/>
      <w:pPr>
        <w:ind w:left="2973" w:hanging="269"/>
      </w:pPr>
      <w:rPr>
        <w:rFonts w:hint="default"/>
      </w:rPr>
    </w:lvl>
    <w:lvl w:ilvl="7">
      <w:start w:val="0"/>
      <w:numFmt w:val="bullet"/>
      <w:lvlText w:val="•"/>
      <w:lvlJc w:val="left"/>
      <w:pPr>
        <w:ind w:left="3399" w:hanging="269"/>
      </w:pPr>
      <w:rPr>
        <w:rFonts w:hint="default"/>
      </w:rPr>
    </w:lvl>
    <w:lvl w:ilvl="8">
      <w:start w:val="0"/>
      <w:numFmt w:val="bullet"/>
      <w:lvlText w:val="•"/>
      <w:lvlJc w:val="left"/>
      <w:pPr>
        <w:ind w:left="3824" w:hanging="269"/>
      </w:pPr>
      <w:rPr>
        <w:rFonts w:hint="default"/>
      </w:rPr>
    </w:lvl>
  </w:abstractNum>
  <w:abstractNum w:abstractNumId="7">
    <w:multiLevelType w:val="hybridMultilevel"/>
    <w:lvl w:ilvl="0">
      <w:start w:val="1"/>
      <w:numFmt w:val="decimal"/>
      <w:lvlText w:val="%1."/>
      <w:lvlJc w:val="left"/>
      <w:pPr>
        <w:ind w:left="419" w:hanging="269"/>
        <w:jc w:val="left"/>
      </w:pPr>
      <w:rPr>
        <w:rFonts w:hint="default" w:ascii="Arial" w:hAnsi="Arial" w:eastAsia="Arial" w:cs="Arial"/>
        <w:spacing w:val="-1"/>
        <w:w w:val="100"/>
        <w:sz w:val="22"/>
        <w:szCs w:val="22"/>
      </w:rPr>
    </w:lvl>
    <w:lvl w:ilvl="1">
      <w:start w:val="1"/>
      <w:numFmt w:val="lowerLetter"/>
      <w:lvlText w:val="%2."/>
      <w:lvlJc w:val="left"/>
      <w:pPr>
        <w:ind w:left="871" w:hanging="272"/>
        <w:jc w:val="left"/>
      </w:pPr>
      <w:rPr>
        <w:rFonts w:hint="default" w:ascii="Arial" w:hAnsi="Arial" w:eastAsia="Arial" w:cs="Arial"/>
        <w:spacing w:val="-1"/>
        <w:w w:val="100"/>
        <w:sz w:val="22"/>
        <w:szCs w:val="22"/>
      </w:rPr>
    </w:lvl>
    <w:lvl w:ilvl="2">
      <w:start w:val="0"/>
      <w:numFmt w:val="bullet"/>
      <w:lvlText w:val="•"/>
      <w:lvlJc w:val="left"/>
      <w:pPr>
        <w:ind w:left="1297" w:hanging="272"/>
      </w:pPr>
      <w:rPr>
        <w:rFonts w:hint="default"/>
      </w:rPr>
    </w:lvl>
    <w:lvl w:ilvl="3">
      <w:start w:val="0"/>
      <w:numFmt w:val="bullet"/>
      <w:lvlText w:val="•"/>
      <w:lvlJc w:val="left"/>
      <w:pPr>
        <w:ind w:left="1715" w:hanging="272"/>
      </w:pPr>
      <w:rPr>
        <w:rFonts w:hint="default"/>
      </w:rPr>
    </w:lvl>
    <w:lvl w:ilvl="4">
      <w:start w:val="0"/>
      <w:numFmt w:val="bullet"/>
      <w:lvlText w:val="•"/>
      <w:lvlJc w:val="left"/>
      <w:pPr>
        <w:ind w:left="2133" w:hanging="272"/>
      </w:pPr>
      <w:rPr>
        <w:rFonts w:hint="default"/>
      </w:rPr>
    </w:lvl>
    <w:lvl w:ilvl="5">
      <w:start w:val="0"/>
      <w:numFmt w:val="bullet"/>
      <w:lvlText w:val="•"/>
      <w:lvlJc w:val="left"/>
      <w:pPr>
        <w:ind w:left="2551" w:hanging="272"/>
      </w:pPr>
      <w:rPr>
        <w:rFonts w:hint="default"/>
      </w:rPr>
    </w:lvl>
    <w:lvl w:ilvl="6">
      <w:start w:val="0"/>
      <w:numFmt w:val="bullet"/>
      <w:lvlText w:val="•"/>
      <w:lvlJc w:val="left"/>
      <w:pPr>
        <w:ind w:left="2968" w:hanging="272"/>
      </w:pPr>
      <w:rPr>
        <w:rFonts w:hint="default"/>
      </w:rPr>
    </w:lvl>
    <w:lvl w:ilvl="7">
      <w:start w:val="0"/>
      <w:numFmt w:val="bullet"/>
      <w:lvlText w:val="•"/>
      <w:lvlJc w:val="left"/>
      <w:pPr>
        <w:ind w:left="3386" w:hanging="272"/>
      </w:pPr>
      <w:rPr>
        <w:rFonts w:hint="default"/>
      </w:rPr>
    </w:lvl>
    <w:lvl w:ilvl="8">
      <w:start w:val="0"/>
      <w:numFmt w:val="bullet"/>
      <w:lvlText w:val="•"/>
      <w:lvlJc w:val="left"/>
      <w:pPr>
        <w:ind w:left="3804" w:hanging="272"/>
      </w:pPr>
      <w:rPr>
        <w:rFonts w:hint="default"/>
      </w:rPr>
    </w:lvl>
  </w:abstractNum>
  <w:abstractNum w:abstractNumId="6">
    <w:multiLevelType w:val="hybridMultilevel"/>
    <w:lvl w:ilvl="0">
      <w:start w:val="1"/>
      <w:numFmt w:val="decimal"/>
      <w:lvlText w:val="%1."/>
      <w:lvlJc w:val="left"/>
      <w:pPr>
        <w:ind w:left="419" w:hanging="269"/>
        <w:jc w:val="left"/>
      </w:pPr>
      <w:rPr>
        <w:rFonts w:hint="default"/>
        <w:b/>
        <w:bCs/>
        <w:spacing w:val="-1"/>
        <w:w w:val="100"/>
      </w:rPr>
    </w:lvl>
    <w:lvl w:ilvl="1">
      <w:start w:val="0"/>
      <w:numFmt w:val="bullet"/>
      <w:lvlText w:val="•"/>
      <w:lvlJc w:val="left"/>
      <w:pPr>
        <w:ind w:left="841" w:hanging="269"/>
      </w:pPr>
      <w:rPr>
        <w:rFonts w:hint="default"/>
      </w:rPr>
    </w:lvl>
    <w:lvl w:ilvl="2">
      <w:start w:val="0"/>
      <w:numFmt w:val="bullet"/>
      <w:lvlText w:val="•"/>
      <w:lvlJc w:val="left"/>
      <w:pPr>
        <w:ind w:left="1263" w:hanging="269"/>
      </w:pPr>
      <w:rPr>
        <w:rFonts w:hint="default"/>
      </w:rPr>
    </w:lvl>
    <w:lvl w:ilvl="3">
      <w:start w:val="0"/>
      <w:numFmt w:val="bullet"/>
      <w:lvlText w:val="•"/>
      <w:lvlJc w:val="left"/>
      <w:pPr>
        <w:ind w:left="1685" w:hanging="269"/>
      </w:pPr>
      <w:rPr>
        <w:rFonts w:hint="default"/>
      </w:rPr>
    </w:lvl>
    <w:lvl w:ilvl="4">
      <w:start w:val="0"/>
      <w:numFmt w:val="bullet"/>
      <w:lvlText w:val="•"/>
      <w:lvlJc w:val="left"/>
      <w:pPr>
        <w:ind w:left="2107" w:hanging="269"/>
      </w:pPr>
      <w:rPr>
        <w:rFonts w:hint="default"/>
      </w:rPr>
    </w:lvl>
    <w:lvl w:ilvl="5">
      <w:start w:val="0"/>
      <w:numFmt w:val="bullet"/>
      <w:lvlText w:val="•"/>
      <w:lvlJc w:val="left"/>
      <w:pPr>
        <w:ind w:left="2529" w:hanging="269"/>
      </w:pPr>
      <w:rPr>
        <w:rFonts w:hint="default"/>
      </w:rPr>
    </w:lvl>
    <w:lvl w:ilvl="6">
      <w:start w:val="0"/>
      <w:numFmt w:val="bullet"/>
      <w:lvlText w:val="•"/>
      <w:lvlJc w:val="left"/>
      <w:pPr>
        <w:ind w:left="2951" w:hanging="269"/>
      </w:pPr>
      <w:rPr>
        <w:rFonts w:hint="default"/>
      </w:rPr>
    </w:lvl>
    <w:lvl w:ilvl="7">
      <w:start w:val="0"/>
      <w:numFmt w:val="bullet"/>
      <w:lvlText w:val="•"/>
      <w:lvlJc w:val="left"/>
      <w:pPr>
        <w:ind w:left="3373" w:hanging="269"/>
      </w:pPr>
      <w:rPr>
        <w:rFonts w:hint="default"/>
      </w:rPr>
    </w:lvl>
    <w:lvl w:ilvl="8">
      <w:start w:val="0"/>
      <w:numFmt w:val="bullet"/>
      <w:lvlText w:val="•"/>
      <w:lvlJc w:val="left"/>
      <w:pPr>
        <w:ind w:left="3795" w:hanging="269"/>
      </w:pPr>
      <w:rPr>
        <w:rFonts w:hint="default"/>
      </w:rPr>
    </w:lvl>
  </w:abstractNum>
  <w:abstractNum w:abstractNumId="5">
    <w:multiLevelType w:val="hybridMultilevel"/>
    <w:lvl w:ilvl="0">
      <w:start w:val="1"/>
      <w:numFmt w:val="decimal"/>
      <w:lvlText w:val="%1."/>
      <w:lvlJc w:val="left"/>
      <w:pPr>
        <w:ind w:left="419" w:hanging="269"/>
        <w:jc w:val="left"/>
      </w:pPr>
      <w:rPr>
        <w:rFonts w:hint="default" w:ascii="Arial" w:hAnsi="Arial" w:eastAsia="Arial" w:cs="Arial"/>
        <w:spacing w:val="-1"/>
        <w:w w:val="100"/>
        <w:sz w:val="22"/>
        <w:szCs w:val="22"/>
      </w:rPr>
    </w:lvl>
    <w:lvl w:ilvl="1">
      <w:start w:val="0"/>
      <w:numFmt w:val="bullet"/>
      <w:lvlText w:val="•"/>
      <w:lvlJc w:val="left"/>
      <w:pPr>
        <w:ind w:left="841" w:hanging="269"/>
      </w:pPr>
      <w:rPr>
        <w:rFonts w:hint="default"/>
      </w:rPr>
    </w:lvl>
    <w:lvl w:ilvl="2">
      <w:start w:val="0"/>
      <w:numFmt w:val="bullet"/>
      <w:lvlText w:val="•"/>
      <w:lvlJc w:val="left"/>
      <w:pPr>
        <w:ind w:left="1263" w:hanging="269"/>
      </w:pPr>
      <w:rPr>
        <w:rFonts w:hint="default"/>
      </w:rPr>
    </w:lvl>
    <w:lvl w:ilvl="3">
      <w:start w:val="0"/>
      <w:numFmt w:val="bullet"/>
      <w:lvlText w:val="•"/>
      <w:lvlJc w:val="left"/>
      <w:pPr>
        <w:ind w:left="1685" w:hanging="269"/>
      </w:pPr>
      <w:rPr>
        <w:rFonts w:hint="default"/>
      </w:rPr>
    </w:lvl>
    <w:lvl w:ilvl="4">
      <w:start w:val="0"/>
      <w:numFmt w:val="bullet"/>
      <w:lvlText w:val="•"/>
      <w:lvlJc w:val="left"/>
      <w:pPr>
        <w:ind w:left="2107" w:hanging="269"/>
      </w:pPr>
      <w:rPr>
        <w:rFonts w:hint="default"/>
      </w:rPr>
    </w:lvl>
    <w:lvl w:ilvl="5">
      <w:start w:val="0"/>
      <w:numFmt w:val="bullet"/>
      <w:lvlText w:val="•"/>
      <w:lvlJc w:val="left"/>
      <w:pPr>
        <w:ind w:left="2529" w:hanging="269"/>
      </w:pPr>
      <w:rPr>
        <w:rFonts w:hint="default"/>
      </w:rPr>
    </w:lvl>
    <w:lvl w:ilvl="6">
      <w:start w:val="0"/>
      <w:numFmt w:val="bullet"/>
      <w:lvlText w:val="•"/>
      <w:lvlJc w:val="left"/>
      <w:pPr>
        <w:ind w:left="2951" w:hanging="269"/>
      </w:pPr>
      <w:rPr>
        <w:rFonts w:hint="default"/>
      </w:rPr>
    </w:lvl>
    <w:lvl w:ilvl="7">
      <w:start w:val="0"/>
      <w:numFmt w:val="bullet"/>
      <w:lvlText w:val="•"/>
      <w:lvlJc w:val="left"/>
      <w:pPr>
        <w:ind w:left="3373" w:hanging="269"/>
      </w:pPr>
      <w:rPr>
        <w:rFonts w:hint="default"/>
      </w:rPr>
    </w:lvl>
    <w:lvl w:ilvl="8">
      <w:start w:val="0"/>
      <w:numFmt w:val="bullet"/>
      <w:lvlText w:val="•"/>
      <w:lvlJc w:val="left"/>
      <w:pPr>
        <w:ind w:left="3795" w:hanging="269"/>
      </w:pPr>
      <w:rPr>
        <w:rFonts w:hint="default"/>
      </w:rPr>
    </w:lvl>
  </w:abstractNum>
  <w:abstractNum w:abstractNumId="4">
    <w:multiLevelType w:val="hybridMultilevel"/>
    <w:lvl w:ilvl="0">
      <w:start w:val="2"/>
      <w:numFmt w:val="decimal"/>
      <w:lvlText w:val="%1."/>
      <w:lvlJc w:val="left"/>
      <w:pPr>
        <w:ind w:left="2280" w:hanging="288"/>
        <w:jc w:val="left"/>
      </w:pPr>
      <w:rPr>
        <w:rFonts w:hint="default" w:ascii="Arial" w:hAnsi="Arial" w:eastAsia="Arial" w:cs="Arial"/>
        <w:b/>
        <w:bCs/>
        <w:spacing w:val="-1"/>
        <w:w w:val="100"/>
        <w:sz w:val="22"/>
        <w:szCs w:val="22"/>
      </w:rPr>
    </w:lvl>
    <w:lvl w:ilvl="1">
      <w:start w:val="1"/>
      <w:numFmt w:val="lowerLetter"/>
      <w:lvlText w:val="%2."/>
      <w:lvlJc w:val="left"/>
      <w:pPr>
        <w:ind w:left="2985" w:hanging="361"/>
        <w:jc w:val="right"/>
      </w:pPr>
      <w:rPr>
        <w:rFonts w:hint="default" w:ascii="Arial" w:hAnsi="Arial" w:eastAsia="Arial" w:cs="Arial"/>
        <w:b/>
        <w:bCs/>
        <w:spacing w:val="-4"/>
        <w:w w:val="97"/>
        <w:sz w:val="24"/>
        <w:szCs w:val="24"/>
      </w:rPr>
    </w:lvl>
    <w:lvl w:ilvl="2">
      <w:start w:val="0"/>
      <w:numFmt w:val="bullet"/>
      <w:lvlText w:val="•"/>
      <w:lvlJc w:val="left"/>
      <w:pPr>
        <w:ind w:left="3713" w:hanging="361"/>
      </w:pPr>
      <w:rPr>
        <w:rFonts w:hint="default"/>
      </w:rPr>
    </w:lvl>
    <w:lvl w:ilvl="3">
      <w:start w:val="0"/>
      <w:numFmt w:val="bullet"/>
      <w:lvlText w:val="•"/>
      <w:lvlJc w:val="left"/>
      <w:pPr>
        <w:ind w:left="4446" w:hanging="361"/>
      </w:pPr>
      <w:rPr>
        <w:rFonts w:hint="default"/>
      </w:rPr>
    </w:lvl>
    <w:lvl w:ilvl="4">
      <w:start w:val="0"/>
      <w:numFmt w:val="bullet"/>
      <w:lvlText w:val="•"/>
      <w:lvlJc w:val="left"/>
      <w:pPr>
        <w:ind w:left="5180" w:hanging="361"/>
      </w:pPr>
      <w:rPr>
        <w:rFonts w:hint="default"/>
      </w:rPr>
    </w:lvl>
    <w:lvl w:ilvl="5">
      <w:start w:val="0"/>
      <w:numFmt w:val="bullet"/>
      <w:lvlText w:val="•"/>
      <w:lvlJc w:val="left"/>
      <w:pPr>
        <w:ind w:left="5913" w:hanging="361"/>
      </w:pPr>
      <w:rPr>
        <w:rFonts w:hint="default"/>
      </w:rPr>
    </w:lvl>
    <w:lvl w:ilvl="6">
      <w:start w:val="0"/>
      <w:numFmt w:val="bullet"/>
      <w:lvlText w:val="•"/>
      <w:lvlJc w:val="left"/>
      <w:pPr>
        <w:ind w:left="6646" w:hanging="361"/>
      </w:pPr>
      <w:rPr>
        <w:rFonts w:hint="default"/>
      </w:rPr>
    </w:lvl>
    <w:lvl w:ilvl="7">
      <w:start w:val="0"/>
      <w:numFmt w:val="bullet"/>
      <w:lvlText w:val="•"/>
      <w:lvlJc w:val="left"/>
      <w:pPr>
        <w:ind w:left="7380" w:hanging="361"/>
      </w:pPr>
      <w:rPr>
        <w:rFonts w:hint="default"/>
      </w:rPr>
    </w:lvl>
    <w:lvl w:ilvl="8">
      <w:start w:val="0"/>
      <w:numFmt w:val="bullet"/>
      <w:lvlText w:val="•"/>
      <w:lvlJc w:val="left"/>
      <w:pPr>
        <w:ind w:left="8113" w:hanging="361"/>
      </w:pPr>
      <w:rPr>
        <w:rFonts w:hint="default"/>
      </w:rPr>
    </w:lvl>
  </w:abstractNum>
  <w:abstractNum w:abstractNumId="3">
    <w:multiLevelType w:val="hybridMultilevel"/>
    <w:lvl w:ilvl="0">
      <w:start w:val="1"/>
      <w:numFmt w:val="upperRoman"/>
      <w:lvlText w:val="%1"/>
      <w:lvlJc w:val="left"/>
      <w:pPr>
        <w:ind w:left="120" w:hanging="296"/>
        <w:jc w:val="left"/>
      </w:pPr>
      <w:rPr>
        <w:rFonts w:hint="default"/>
      </w:rPr>
    </w:lvl>
    <w:lvl w:ilvl="1">
      <w:start w:val="5"/>
      <w:numFmt w:val="lowerLetter"/>
      <w:lvlText w:val="%1.%2."/>
      <w:lvlJc w:val="left"/>
      <w:pPr>
        <w:ind w:left="120" w:hanging="296"/>
        <w:jc w:val="left"/>
      </w:pPr>
      <w:rPr>
        <w:rFonts w:hint="default" w:ascii="Calibri" w:hAnsi="Calibri" w:eastAsia="Calibri" w:cs="Calibri"/>
        <w:spacing w:val="-2"/>
        <w:w w:val="97"/>
        <w:sz w:val="20"/>
        <w:szCs w:val="20"/>
      </w:rPr>
    </w:lvl>
    <w:lvl w:ilvl="2">
      <w:start w:val="1"/>
      <w:numFmt w:val="decimal"/>
      <w:lvlText w:val="%3."/>
      <w:lvlJc w:val="left"/>
      <w:pPr>
        <w:ind w:left="240" w:hanging="305"/>
        <w:jc w:val="left"/>
      </w:pPr>
      <w:rPr>
        <w:rFonts w:hint="default" w:ascii="Arial" w:hAnsi="Arial" w:eastAsia="Arial" w:cs="Arial"/>
        <w:spacing w:val="-1"/>
        <w:w w:val="97"/>
        <w:sz w:val="24"/>
        <w:szCs w:val="24"/>
      </w:rPr>
    </w:lvl>
    <w:lvl w:ilvl="3">
      <w:start w:val="0"/>
      <w:numFmt w:val="bullet"/>
      <w:lvlText w:val=""/>
      <w:lvlJc w:val="left"/>
      <w:pPr>
        <w:ind w:left="840" w:hanging="360"/>
      </w:pPr>
      <w:rPr>
        <w:rFonts w:hint="default" w:ascii="Symbol" w:hAnsi="Symbol" w:eastAsia="Symbol" w:cs="Symbol"/>
        <w:w w:val="100"/>
        <w:sz w:val="24"/>
        <w:szCs w:val="24"/>
      </w:rPr>
    </w:lvl>
    <w:lvl w:ilvl="4">
      <w:start w:val="0"/>
      <w:numFmt w:val="bullet"/>
      <w:lvlText w:val=""/>
      <w:lvlJc w:val="left"/>
      <w:pPr>
        <w:ind w:left="940" w:hanging="360"/>
      </w:pPr>
      <w:rPr>
        <w:rFonts w:hint="default" w:ascii="Wingdings" w:hAnsi="Wingdings" w:eastAsia="Wingdings" w:cs="Wingdings"/>
        <w:w w:val="100"/>
        <w:sz w:val="24"/>
        <w:szCs w:val="24"/>
      </w:rPr>
    </w:lvl>
    <w:lvl w:ilvl="5">
      <w:start w:val="0"/>
      <w:numFmt w:val="bullet"/>
      <w:lvlText w:val="•"/>
      <w:lvlJc w:val="left"/>
      <w:pPr>
        <w:ind w:left="2900" w:hanging="360"/>
      </w:pPr>
      <w:rPr>
        <w:rFonts w:hint="default"/>
      </w:rPr>
    </w:lvl>
    <w:lvl w:ilvl="6">
      <w:start w:val="0"/>
      <w:numFmt w:val="bullet"/>
      <w:lvlText w:val="•"/>
      <w:lvlJc w:val="left"/>
      <w:pPr>
        <w:ind w:left="4240" w:hanging="360"/>
      </w:pPr>
      <w:rPr>
        <w:rFonts w:hint="default"/>
      </w:rPr>
    </w:lvl>
    <w:lvl w:ilvl="7">
      <w:start w:val="0"/>
      <w:numFmt w:val="bullet"/>
      <w:lvlText w:val="•"/>
      <w:lvlJc w:val="left"/>
      <w:pPr>
        <w:ind w:left="5580" w:hanging="360"/>
      </w:pPr>
      <w:rPr>
        <w:rFonts w:hint="default"/>
      </w:rPr>
    </w:lvl>
    <w:lvl w:ilvl="8">
      <w:start w:val="0"/>
      <w:numFmt w:val="bullet"/>
      <w:lvlText w:val="•"/>
      <w:lvlJc w:val="left"/>
      <w:pPr>
        <w:ind w:left="6920" w:hanging="360"/>
      </w:pPr>
      <w:rPr>
        <w:rFonts w:hint="default"/>
      </w:rPr>
    </w:lvl>
  </w:abstractNum>
  <w:abstractNum w:abstractNumId="2">
    <w:multiLevelType w:val="hybridMultilevel"/>
    <w:lvl w:ilvl="0">
      <w:start w:val="0"/>
      <w:numFmt w:val="bullet"/>
      <w:lvlText w:val=""/>
      <w:lvlJc w:val="left"/>
      <w:pPr>
        <w:ind w:left="820" w:hanging="360"/>
      </w:pPr>
      <w:rPr>
        <w:rFonts w:hint="default" w:ascii="Wingdings" w:hAnsi="Wingdings" w:eastAsia="Wingdings" w:cs="Wingdings"/>
        <w:w w:val="100"/>
        <w:sz w:val="24"/>
        <w:szCs w:val="24"/>
      </w:rPr>
    </w:lvl>
    <w:lvl w:ilvl="1">
      <w:start w:val="0"/>
      <w:numFmt w:val="bullet"/>
      <w:lvlText w:val="•"/>
      <w:lvlJc w:val="left"/>
      <w:pPr>
        <w:ind w:left="1696" w:hanging="360"/>
      </w:pPr>
      <w:rPr>
        <w:rFonts w:hint="default"/>
      </w:rPr>
    </w:lvl>
    <w:lvl w:ilvl="2">
      <w:start w:val="0"/>
      <w:numFmt w:val="bullet"/>
      <w:lvlText w:val="•"/>
      <w:lvlJc w:val="left"/>
      <w:pPr>
        <w:ind w:left="2572" w:hanging="360"/>
      </w:pPr>
      <w:rPr>
        <w:rFonts w:hint="default"/>
      </w:rPr>
    </w:lvl>
    <w:lvl w:ilvl="3">
      <w:start w:val="0"/>
      <w:numFmt w:val="bullet"/>
      <w:lvlText w:val="•"/>
      <w:lvlJc w:val="left"/>
      <w:pPr>
        <w:ind w:left="3448" w:hanging="360"/>
      </w:pPr>
      <w:rPr>
        <w:rFonts w:hint="default"/>
      </w:rPr>
    </w:lvl>
    <w:lvl w:ilvl="4">
      <w:start w:val="0"/>
      <w:numFmt w:val="bullet"/>
      <w:lvlText w:val="•"/>
      <w:lvlJc w:val="left"/>
      <w:pPr>
        <w:ind w:left="4324" w:hanging="360"/>
      </w:pPr>
      <w:rPr>
        <w:rFonts w:hint="default"/>
      </w:rPr>
    </w:lvl>
    <w:lvl w:ilvl="5">
      <w:start w:val="0"/>
      <w:numFmt w:val="bullet"/>
      <w:lvlText w:val="•"/>
      <w:lvlJc w:val="left"/>
      <w:pPr>
        <w:ind w:left="5200" w:hanging="360"/>
      </w:pPr>
      <w:rPr>
        <w:rFonts w:hint="default"/>
      </w:rPr>
    </w:lvl>
    <w:lvl w:ilvl="6">
      <w:start w:val="0"/>
      <w:numFmt w:val="bullet"/>
      <w:lvlText w:val="•"/>
      <w:lvlJc w:val="left"/>
      <w:pPr>
        <w:ind w:left="6076" w:hanging="360"/>
      </w:pPr>
      <w:rPr>
        <w:rFonts w:hint="default"/>
      </w:rPr>
    </w:lvl>
    <w:lvl w:ilvl="7">
      <w:start w:val="0"/>
      <w:numFmt w:val="bullet"/>
      <w:lvlText w:val="•"/>
      <w:lvlJc w:val="left"/>
      <w:pPr>
        <w:ind w:left="6952" w:hanging="360"/>
      </w:pPr>
      <w:rPr>
        <w:rFonts w:hint="default"/>
      </w:rPr>
    </w:lvl>
    <w:lvl w:ilvl="8">
      <w:start w:val="0"/>
      <w:numFmt w:val="bullet"/>
      <w:lvlText w:val="•"/>
      <w:lvlJc w:val="left"/>
      <w:pPr>
        <w:ind w:left="7828" w:hanging="360"/>
      </w:pPr>
      <w:rPr>
        <w:rFonts w:hint="default"/>
      </w:rPr>
    </w:lvl>
  </w:abstractNum>
  <w:abstractNum w:abstractNumId="1">
    <w:multiLevelType w:val="hybridMultilevel"/>
    <w:lvl w:ilvl="0">
      <w:start w:val="0"/>
      <w:numFmt w:val="bullet"/>
      <w:lvlText w:val=""/>
      <w:lvlJc w:val="left"/>
      <w:pPr>
        <w:ind w:left="820" w:hanging="360"/>
      </w:pPr>
      <w:rPr>
        <w:rFonts w:hint="default" w:ascii="Symbol" w:hAnsi="Symbol" w:eastAsia="Symbol" w:cs="Symbol"/>
        <w:w w:val="100"/>
        <w:sz w:val="24"/>
        <w:szCs w:val="24"/>
      </w:rPr>
    </w:lvl>
    <w:lvl w:ilvl="1">
      <w:start w:val="0"/>
      <w:numFmt w:val="bullet"/>
      <w:lvlText w:val="•"/>
      <w:lvlJc w:val="left"/>
      <w:pPr>
        <w:ind w:left="1540" w:hanging="360"/>
      </w:pPr>
      <w:rPr>
        <w:rFonts w:hint="default"/>
      </w:rPr>
    </w:lvl>
    <w:lvl w:ilvl="2">
      <w:start w:val="0"/>
      <w:numFmt w:val="bullet"/>
      <w:lvlText w:val="•"/>
      <w:lvlJc w:val="left"/>
      <w:pPr>
        <w:ind w:left="2433" w:hanging="360"/>
      </w:pPr>
      <w:rPr>
        <w:rFonts w:hint="default"/>
      </w:rPr>
    </w:lvl>
    <w:lvl w:ilvl="3">
      <w:start w:val="0"/>
      <w:numFmt w:val="bullet"/>
      <w:lvlText w:val="•"/>
      <w:lvlJc w:val="left"/>
      <w:pPr>
        <w:ind w:left="3326" w:hanging="360"/>
      </w:pPr>
      <w:rPr>
        <w:rFonts w:hint="default"/>
      </w:rPr>
    </w:lvl>
    <w:lvl w:ilvl="4">
      <w:start w:val="0"/>
      <w:numFmt w:val="bullet"/>
      <w:lvlText w:val="•"/>
      <w:lvlJc w:val="left"/>
      <w:pPr>
        <w:ind w:left="4220" w:hanging="360"/>
      </w:pPr>
      <w:rPr>
        <w:rFonts w:hint="default"/>
      </w:rPr>
    </w:lvl>
    <w:lvl w:ilvl="5">
      <w:start w:val="0"/>
      <w:numFmt w:val="bullet"/>
      <w:lvlText w:val="•"/>
      <w:lvlJc w:val="left"/>
      <w:pPr>
        <w:ind w:left="5113" w:hanging="360"/>
      </w:pPr>
      <w:rPr>
        <w:rFonts w:hint="default"/>
      </w:rPr>
    </w:lvl>
    <w:lvl w:ilvl="6">
      <w:start w:val="0"/>
      <w:numFmt w:val="bullet"/>
      <w:lvlText w:val="•"/>
      <w:lvlJc w:val="left"/>
      <w:pPr>
        <w:ind w:left="6006" w:hanging="360"/>
      </w:pPr>
      <w:rPr>
        <w:rFonts w:hint="default"/>
      </w:rPr>
    </w:lvl>
    <w:lvl w:ilvl="7">
      <w:start w:val="0"/>
      <w:numFmt w:val="bullet"/>
      <w:lvlText w:val="•"/>
      <w:lvlJc w:val="left"/>
      <w:pPr>
        <w:ind w:left="6900" w:hanging="360"/>
      </w:pPr>
      <w:rPr>
        <w:rFonts w:hint="default"/>
      </w:rPr>
    </w:lvl>
    <w:lvl w:ilvl="8">
      <w:start w:val="0"/>
      <w:numFmt w:val="bullet"/>
      <w:lvlText w:val="•"/>
      <w:lvlJc w:val="left"/>
      <w:pPr>
        <w:ind w:left="7793" w:hanging="360"/>
      </w:pPr>
      <w:rPr>
        <w:rFonts w:hint="default"/>
      </w:rPr>
    </w:lvl>
  </w:abstractNum>
  <w:abstractNum w:abstractNumId="0">
    <w:multiLevelType w:val="hybridMultilevel"/>
    <w:lvl w:ilvl="0">
      <w:start w:val="1"/>
      <w:numFmt w:val="decimal"/>
      <w:lvlText w:val="%1."/>
      <w:lvlJc w:val="left"/>
      <w:pPr>
        <w:ind w:left="1200" w:hanging="360"/>
        <w:jc w:val="left"/>
      </w:pPr>
      <w:rPr>
        <w:rFonts w:hint="default" w:ascii="Calibri" w:hAnsi="Calibri" w:eastAsia="Calibri" w:cs="Calibri"/>
        <w:spacing w:val="-2"/>
        <w:w w:val="98"/>
        <w:sz w:val="24"/>
        <w:szCs w:val="24"/>
      </w:rPr>
    </w:lvl>
    <w:lvl w:ilvl="1">
      <w:start w:val="0"/>
      <w:numFmt w:val="bullet"/>
      <w:lvlText w:val=""/>
      <w:lvlJc w:val="left"/>
      <w:pPr>
        <w:ind w:left="1920" w:hanging="360"/>
      </w:pPr>
      <w:rPr>
        <w:rFonts w:hint="default" w:ascii="Wingdings" w:hAnsi="Wingdings" w:eastAsia="Wingdings" w:cs="Wingdings"/>
        <w:w w:val="100"/>
        <w:sz w:val="24"/>
        <w:szCs w:val="24"/>
      </w:rPr>
    </w:lvl>
    <w:lvl w:ilvl="2">
      <w:start w:val="0"/>
      <w:numFmt w:val="bullet"/>
      <w:lvlText w:val="o"/>
      <w:lvlJc w:val="left"/>
      <w:pPr>
        <w:ind w:left="2640" w:hanging="360"/>
      </w:pPr>
      <w:rPr>
        <w:rFonts w:hint="default" w:ascii="Courier New" w:hAnsi="Courier New" w:eastAsia="Courier New" w:cs="Courier New"/>
        <w:w w:val="98"/>
        <w:sz w:val="24"/>
        <w:szCs w:val="24"/>
      </w:rPr>
    </w:lvl>
    <w:lvl w:ilvl="3">
      <w:start w:val="0"/>
      <w:numFmt w:val="bullet"/>
      <w:lvlText w:val="•"/>
      <w:lvlJc w:val="left"/>
      <w:pPr>
        <w:ind w:left="3510" w:hanging="360"/>
      </w:pPr>
      <w:rPr>
        <w:rFonts w:hint="default"/>
      </w:rPr>
    </w:lvl>
    <w:lvl w:ilvl="4">
      <w:start w:val="0"/>
      <w:numFmt w:val="bullet"/>
      <w:lvlText w:val="•"/>
      <w:lvlJc w:val="left"/>
      <w:pPr>
        <w:ind w:left="4380" w:hanging="360"/>
      </w:pPr>
      <w:rPr>
        <w:rFonts w:hint="default"/>
      </w:rPr>
    </w:lvl>
    <w:lvl w:ilvl="5">
      <w:start w:val="0"/>
      <w:numFmt w:val="bullet"/>
      <w:lvlText w:val="•"/>
      <w:lvlJc w:val="left"/>
      <w:pPr>
        <w:ind w:left="5250" w:hanging="360"/>
      </w:pPr>
      <w:rPr>
        <w:rFonts w:hint="default"/>
      </w:rPr>
    </w:lvl>
    <w:lvl w:ilvl="6">
      <w:start w:val="0"/>
      <w:numFmt w:val="bullet"/>
      <w:lvlText w:val="•"/>
      <w:lvlJc w:val="left"/>
      <w:pPr>
        <w:ind w:left="6120" w:hanging="360"/>
      </w:pPr>
      <w:rPr>
        <w:rFonts w:hint="default"/>
      </w:rPr>
    </w:lvl>
    <w:lvl w:ilvl="7">
      <w:start w:val="0"/>
      <w:numFmt w:val="bullet"/>
      <w:lvlText w:val="•"/>
      <w:lvlJc w:val="left"/>
      <w:pPr>
        <w:ind w:left="6990" w:hanging="360"/>
      </w:pPr>
      <w:rPr>
        <w:rFonts w:hint="default"/>
      </w:rPr>
    </w:lvl>
    <w:lvl w:ilvl="8">
      <w:start w:val="0"/>
      <w:numFmt w:val="bullet"/>
      <w:lvlText w:val="•"/>
      <w:lvlJc w:val="left"/>
      <w:pPr>
        <w:ind w:left="7860" w:hanging="360"/>
      </w:pPr>
      <w:rPr>
        <w:rFonts w:hint="default"/>
      </w:rPr>
    </w:lvl>
  </w:abstractNum>
  <w:num w:numId="11">
    <w:abstractNumId w:val="10"/>
  </w:num>
  <w:num w:numId="15">
    <w:abstractNumId w:val="14"/>
  </w:num>
  <w:num w:numId="14">
    <w:abstractNumId w:val="13"/>
  </w:num>
  <w:num w:numId="13">
    <w:abstractNumId w:val="12"/>
  </w:num>
  <w:num w:numId="12">
    <w:abstractNumId w:val="11"/>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rPr>
  </w:style>
  <w:style w:styleId="TOC1" w:type="paragraph">
    <w:name w:val="TOC 1"/>
    <w:basedOn w:val="Normal"/>
    <w:uiPriority w:val="1"/>
    <w:qFormat/>
    <w:pPr>
      <w:spacing w:before="120"/>
      <w:ind w:left="101"/>
    </w:pPr>
    <w:rPr>
      <w:rFonts w:ascii="Arial" w:hAnsi="Arial" w:eastAsia="Arial" w:cs="Arial"/>
      <w:b/>
      <w:bCs/>
      <w:sz w:val="22"/>
      <w:szCs w:val="22"/>
    </w:rPr>
  </w:style>
  <w:style w:styleId="TOC2" w:type="paragraph">
    <w:name w:val="TOC 2"/>
    <w:basedOn w:val="Normal"/>
    <w:uiPriority w:val="1"/>
    <w:qFormat/>
    <w:pPr>
      <w:spacing w:before="120"/>
      <w:ind w:left="317"/>
    </w:pPr>
    <w:rPr>
      <w:rFonts w:ascii="Arial" w:hAnsi="Arial" w:eastAsia="Arial" w:cs="Arial"/>
      <w:sz w:val="22"/>
      <w:szCs w:val="22"/>
    </w:rPr>
  </w:style>
  <w:style w:styleId="BodyText" w:type="paragraph">
    <w:name w:val="Body Text"/>
    <w:basedOn w:val="Normal"/>
    <w:uiPriority w:val="1"/>
    <w:qFormat/>
    <w:pPr/>
    <w:rPr>
      <w:rFonts w:ascii="Arial" w:hAnsi="Arial" w:eastAsia="Arial" w:cs="Arial"/>
      <w:sz w:val="24"/>
      <w:szCs w:val="24"/>
    </w:rPr>
  </w:style>
  <w:style w:styleId="Heading1" w:type="paragraph">
    <w:name w:val="Heading 1"/>
    <w:basedOn w:val="Normal"/>
    <w:uiPriority w:val="1"/>
    <w:qFormat/>
    <w:pPr>
      <w:spacing w:before="252"/>
      <w:ind w:left="120"/>
      <w:outlineLvl w:val="1"/>
    </w:pPr>
    <w:rPr>
      <w:rFonts w:ascii="Arial" w:hAnsi="Arial" w:eastAsia="Arial" w:cs="Arial"/>
      <w:sz w:val="26"/>
      <w:szCs w:val="26"/>
    </w:rPr>
  </w:style>
  <w:style w:styleId="Heading2" w:type="paragraph">
    <w:name w:val="Heading 2"/>
    <w:basedOn w:val="Normal"/>
    <w:uiPriority w:val="1"/>
    <w:qFormat/>
    <w:pPr>
      <w:ind w:left="120"/>
      <w:outlineLvl w:val="2"/>
    </w:pPr>
    <w:rPr>
      <w:rFonts w:ascii="Arial" w:hAnsi="Arial" w:eastAsia="Arial" w:cs="Arial"/>
      <w:b/>
      <w:bCs/>
      <w:sz w:val="24"/>
      <w:szCs w:val="24"/>
    </w:rPr>
  </w:style>
  <w:style w:styleId="ListParagraph" w:type="paragraph">
    <w:name w:val="List Paragraph"/>
    <w:basedOn w:val="Normal"/>
    <w:uiPriority w:val="1"/>
    <w:qFormat/>
    <w:pPr>
      <w:ind w:left="820" w:hanging="360"/>
    </w:pPr>
    <w:rPr>
      <w:rFonts w:ascii="Arial" w:hAnsi="Arial" w:eastAsia="Arial" w:cs="Arial"/>
    </w:rPr>
  </w:style>
  <w:style w:styleId="TableParagraph" w:type="paragraph">
    <w:name w:val="Table Paragraph"/>
    <w:basedOn w:val="Normal"/>
    <w:uiPriority w:val="1"/>
    <w:qFormat/>
    <w:pPr>
      <w:jc w:val="center"/>
    </w:pPr>
    <w:rPr>
      <w:rFonts w:ascii="Arial" w:hAnsi="Arial" w:eastAsia="Arial" w:cs="Arial"/>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2.png"/><Relationship Id="rId11" Type="http://schemas.openxmlformats.org/officeDocument/2006/relationships/image" Target="media/image3.jpeg"/><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image" Target="media/image5.jpeg"/><Relationship Id="rId15" Type="http://schemas.openxmlformats.org/officeDocument/2006/relationships/footer" Target="footer4.xml"/><Relationship Id="rId16" Type="http://schemas.openxmlformats.org/officeDocument/2006/relationships/image" Target="media/image6.jpeg"/><Relationship Id="rId17" Type="http://schemas.openxmlformats.org/officeDocument/2006/relationships/image" Target="media/image7.jpeg"/><Relationship Id="rId18" Type="http://schemas.openxmlformats.org/officeDocument/2006/relationships/footer" Target="footer5.xml"/><Relationship Id="rId19" Type="http://schemas.openxmlformats.org/officeDocument/2006/relationships/image" Target="media/image8.jpeg"/><Relationship Id="rId20" Type="http://schemas.openxmlformats.org/officeDocument/2006/relationships/image" Target="media/image9.jpeg"/><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footer" Target="footer6.xml"/><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image" Target="media/image14.png"/><Relationship Id="rId27" Type="http://schemas.openxmlformats.org/officeDocument/2006/relationships/image" Target="media/image15.png"/><Relationship Id="rId28" Type="http://schemas.openxmlformats.org/officeDocument/2006/relationships/image" Target="media/image16.png"/><Relationship Id="rId29" Type="http://schemas.openxmlformats.org/officeDocument/2006/relationships/footer" Target="footer7.xml"/><Relationship Id="rId30" Type="http://schemas.openxmlformats.org/officeDocument/2006/relationships/image" Target="media/image17.jpeg"/><Relationship Id="rId31" Type="http://schemas.openxmlformats.org/officeDocument/2006/relationships/hyperlink" Target="http://www.guidestar.org/FinDocuments/2015/743/033/2015-743033931-0cbb4212-9.pdf" TargetMode="External"/><Relationship Id="rId32" Type="http://schemas.openxmlformats.org/officeDocument/2006/relationships/hyperlink" Target="http://www.schooldev.net/services" TargetMode="External"/><Relationship Id="rId33" Type="http://schemas.openxmlformats.org/officeDocument/2006/relationships/hyperlink" Target="http://www.schooldev.net/projects" TargetMode="External"/><Relationship Id="rId34" Type="http://schemas.openxmlformats.org/officeDocument/2006/relationships/footer" Target="footer8.xml"/><Relationship Id="rId35" Type="http://schemas.openxmlformats.org/officeDocument/2006/relationships/hyperlink" Target="http://www.azauditor.gov/sites/default/files/TAPBI.pdf" TargetMode="External"/><Relationship Id="rId36" Type="http://schemas.openxmlformats.org/officeDocument/2006/relationships/footer" Target="footer9.xml"/><Relationship Id="rId37" Type="http://schemas.openxmlformats.org/officeDocument/2006/relationships/footer" Target="footer10.xml"/><Relationship Id="rId38" Type="http://schemas.openxmlformats.org/officeDocument/2006/relationships/footer" Target="footer11.xml"/><Relationship Id="rId39" Type="http://schemas.openxmlformats.org/officeDocument/2006/relationships/image" Target="media/image18.jpeg"/><Relationship Id="rId40" Type="http://schemas.openxmlformats.org/officeDocument/2006/relationships/image" Target="media/image19.jpeg"/><Relationship Id="rId41" Type="http://schemas.openxmlformats.org/officeDocument/2006/relationships/footer" Target="footer12.xml"/><Relationship Id="rId42" Type="http://schemas.openxmlformats.org/officeDocument/2006/relationships/image" Target="media/image20.jpeg"/><Relationship Id="rId43" Type="http://schemas.openxmlformats.org/officeDocument/2006/relationships/image" Target="media/image21.png"/><Relationship Id="rId44" Type="http://schemas.openxmlformats.org/officeDocument/2006/relationships/image" Target="media/image22.png"/><Relationship Id="rId45" Type="http://schemas.openxmlformats.org/officeDocument/2006/relationships/image" Target="media/image23.png"/><Relationship Id="rId46" Type="http://schemas.openxmlformats.org/officeDocument/2006/relationships/image" Target="media/image24.png"/><Relationship Id="rId47" Type="http://schemas.openxmlformats.org/officeDocument/2006/relationships/image" Target="media/image25.png"/><Relationship Id="rId48" Type="http://schemas.openxmlformats.org/officeDocument/2006/relationships/image" Target="media/image26.png"/><Relationship Id="rId49" Type="http://schemas.openxmlformats.org/officeDocument/2006/relationships/image" Target="media/image27.png"/><Relationship Id="rId50" Type="http://schemas.openxmlformats.org/officeDocument/2006/relationships/image" Target="media/image28.png"/><Relationship Id="rId51" Type="http://schemas.openxmlformats.org/officeDocument/2006/relationships/image" Target="media/image29.png"/><Relationship Id="rId52" Type="http://schemas.openxmlformats.org/officeDocument/2006/relationships/image" Target="media/image30.png"/><Relationship Id="rId53" Type="http://schemas.openxmlformats.org/officeDocument/2006/relationships/footer" Target="footer13.xml"/><Relationship Id="rId54" Type="http://schemas.openxmlformats.org/officeDocument/2006/relationships/image" Target="media/image31.png"/><Relationship Id="rId55" Type="http://schemas.openxmlformats.org/officeDocument/2006/relationships/image" Target="media/image32.png"/><Relationship Id="rId56" Type="http://schemas.openxmlformats.org/officeDocument/2006/relationships/image" Target="media/image33.png"/><Relationship Id="rId57" Type="http://schemas.openxmlformats.org/officeDocument/2006/relationships/image" Target="media/image34.png"/><Relationship Id="rId58" Type="http://schemas.openxmlformats.org/officeDocument/2006/relationships/image" Target="media/image35.png"/><Relationship Id="rId59" Type="http://schemas.openxmlformats.org/officeDocument/2006/relationships/image" Target="media/image36.png"/><Relationship Id="rId60" Type="http://schemas.openxmlformats.org/officeDocument/2006/relationships/image" Target="media/image37.png"/><Relationship Id="rId61" Type="http://schemas.openxmlformats.org/officeDocument/2006/relationships/image" Target="media/image38.png"/><Relationship Id="rId62" Type="http://schemas.openxmlformats.org/officeDocument/2006/relationships/image" Target="media/image39.jpeg"/><Relationship Id="rId63" Type="http://schemas.openxmlformats.org/officeDocument/2006/relationships/image" Target="media/image40.jpeg"/><Relationship Id="rId64" Type="http://schemas.openxmlformats.org/officeDocument/2006/relationships/footer" Target="footer14.xml"/><Relationship Id="rId65" Type="http://schemas.openxmlformats.org/officeDocument/2006/relationships/footer" Target="footer15.xml"/><Relationship Id="rId66" Type="http://schemas.openxmlformats.org/officeDocument/2006/relationships/image" Target="media/image41.jpeg"/><Relationship Id="rId67" Type="http://schemas.openxmlformats.org/officeDocument/2006/relationships/hyperlink" Target="mailto:CCardine@azgci.org" TargetMode="External"/><Relationship Id="rId68" Type="http://schemas.openxmlformats.org/officeDocument/2006/relationships/hyperlink" Target="http://www.guidestar.org/FinDocuments/2014/320/339/2014-320339504-0b5a2af9-9.pdf" TargetMode="External"/><Relationship Id="rId69" Type="http://schemas.openxmlformats.org/officeDocument/2006/relationships/hyperlink" Target="http://www.ade.az.gov/schoolfinance/forms/leaquery/submittedfiles.aspx" TargetMode="External"/><Relationship Id="rId70" Type="http://schemas.openxmlformats.org/officeDocument/2006/relationships/hyperlink" Target="http://www.azed.gov/superintendent/superintendents-annual-report/" TargetMode="External"/><Relationship Id="rId71" Type="http://schemas.openxmlformats.org/officeDocument/2006/relationships/hyperlink" Target="https://asbcs.az.gov/board-staff-information/statutes-rules-policies" TargetMode="External"/><Relationship Id="rId72" Type="http://schemas.openxmlformats.org/officeDocument/2006/relationships/footer" Target="footer16.xml"/><Relationship Id="rId73" Type="http://schemas.openxmlformats.org/officeDocument/2006/relationships/hyperlink" Target="http://online.asbcs.az.gov/charterholders/view/592/legacy-traditional-school-avondale" TargetMode="External"/><Relationship Id="rId74" Type="http://schemas.openxmlformats.org/officeDocument/2006/relationships/hyperlink" Target="http://www.azed.gov/superintendent/files/2016/01/safr-2015-volume-i.pdf" TargetMode="External"/><Relationship Id="rId75" Type="http://schemas.openxmlformats.org/officeDocument/2006/relationships/hyperlink" Target="http://nepc.colorado.edu/publication/charter-revenue" TargetMode="External"/><Relationship Id="rId76" Type="http://schemas.openxmlformats.org/officeDocument/2006/relationships/hyperlink" Target="http://www.freep.com/story/news/local/michigan/detroit/2016/03/29/feds-charge-9-current-and-former-detroit-school-principals/82375712/" TargetMode="External"/><Relationship Id="rId77" Type="http://schemas.openxmlformats.org/officeDocument/2006/relationships/footer" Target="footer17.xml"/><Relationship Id="rId78" Type="http://schemas.openxmlformats.org/officeDocument/2006/relationships/hyperlink" Target="http://www.ppionline.org/" TargetMode="External"/><Relationship Id="rId79" Type="http://schemas.openxmlformats.org/officeDocument/2006/relationships/hyperlink" Target="http://www.azleg.gov/jlbc/districtvscharterfunding.pdf" TargetMode="External"/><Relationship Id="rId80" Type="http://schemas.openxmlformats.org/officeDocument/2006/relationships/hyperlink" Target="http://archive.azcentral.com/news/articles/20121016insiders-benefiting-charter-deals.html" TargetMode="External"/><Relationship Id="rId81" Type="http://schemas.openxmlformats.org/officeDocument/2006/relationships/hyperlink" Target="https://www.nytimes.com/2015/06/02/us/chicago-schools-chief-resigns-amid-federal-investigation.html?_r=0" TargetMode="External"/><Relationship Id="rId82" Type="http://schemas.openxmlformats.org/officeDocument/2006/relationships/footer" Target="footer18.xml"/><Relationship Id="rId83" Type="http://schemas.openxmlformats.org/officeDocument/2006/relationships/numbering" Target="numbering.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Cardine, Curt;Wells, David</dc:creator>
  <cp:keywords>Final</cp:keywords>
  <dc:subject>Policy Paper 1</dc:subject>
  <dc:title>Following the Money</dc:title>
  <dcterms:created xsi:type="dcterms:W3CDTF">2017-09-15T17:15:31Z</dcterms:created>
  <dcterms:modified xsi:type="dcterms:W3CDTF">2017-09-15T17:15:31Z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2017-09-15T00:00:00Z</vt:filetime>
  </property>
  <property fmtid="{D5CDD505-2E9C-101B-9397-08002B2CF9AE}" pid="3" name="Creator">
    <vt:lpwstr>Microsoft® Word 2013</vt:lpwstr>
  </property>
  <property fmtid="{D5CDD505-2E9C-101B-9397-08002B2CF9AE}" pid="4" name="LastSaved">
    <vt:filetime>2017-09-15T00:00:00Z</vt:filetime>
  </property>
</Properties>
</file>